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7169" w14:textId="77777777" w:rsidR="00EC7516" w:rsidRDefault="00EC7516" w:rsidP="001E059D">
      <w:pPr>
        <w:jc w:val="center"/>
        <w:rPr>
          <w:sz w:val="32"/>
        </w:rPr>
      </w:pPr>
    </w:p>
    <w:p w14:paraId="15DC98B9" w14:textId="3949C01B" w:rsidR="008471E5" w:rsidRPr="001E059D" w:rsidRDefault="00FC30A7" w:rsidP="001E059D">
      <w:pPr>
        <w:jc w:val="center"/>
        <w:rPr>
          <w:sz w:val="28"/>
        </w:rPr>
      </w:pPr>
      <w:r w:rsidRPr="001E059D">
        <w:rPr>
          <w:sz w:val="32"/>
        </w:rPr>
        <w:t>NÚMERO 0</w:t>
      </w:r>
      <w:r w:rsidR="0087404C">
        <w:rPr>
          <w:sz w:val="32"/>
        </w:rPr>
        <w:t>5</w:t>
      </w:r>
      <w:r w:rsidRPr="001E059D">
        <w:rPr>
          <w:sz w:val="32"/>
        </w:rPr>
        <w:t xml:space="preserve"> – </w:t>
      </w:r>
      <w:proofErr w:type="gramStart"/>
      <w:r w:rsidR="000318F0">
        <w:rPr>
          <w:sz w:val="32"/>
        </w:rPr>
        <w:t>Nov</w:t>
      </w:r>
      <w:r w:rsidR="00507ABA" w:rsidRPr="001E059D">
        <w:rPr>
          <w:sz w:val="32"/>
        </w:rPr>
        <w:t>embro</w:t>
      </w:r>
      <w:proofErr w:type="gramEnd"/>
      <w:r w:rsidRPr="001E059D">
        <w:rPr>
          <w:sz w:val="32"/>
        </w:rPr>
        <w:t xml:space="preserve"> de 2024</w:t>
      </w:r>
      <w:r w:rsidRPr="001E059D">
        <w:rPr>
          <w:noProof/>
          <w:sz w:val="36"/>
          <w:lang w:eastAsia="pt-BR"/>
        </w:rPr>
        <w:drawing>
          <wp:anchor distT="0" distB="0" distL="114300" distR="114300" simplePos="0" relativeHeight="251659264" behindDoc="1" locked="0" layoutInCell="1" allowOverlap="1" wp14:anchorId="5FF64B74" wp14:editId="06B99881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5400675" cy="3600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BA0F0" w14:textId="77777777" w:rsidR="00FC30A7" w:rsidRPr="004617F9" w:rsidRDefault="00FC30A7" w:rsidP="004617F9">
      <w:pPr>
        <w:pBdr>
          <w:top w:val="single" w:sz="12" w:space="1" w:color="auto"/>
        </w:pBdr>
        <w:spacing w:afterLines="60" w:after="144" w:line="240" w:lineRule="auto"/>
        <w:rPr>
          <w:sz w:val="24"/>
        </w:rPr>
      </w:pPr>
    </w:p>
    <w:p w14:paraId="66B9E5B6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Este boletim é parte de um programa de pesquisa e extensão do curso de Ciências Econômicas da Universidade Católica de Santos em parceria com a Prefeitura Municipal de Santos que realiza coleta de preços dos itens que compõem a cesta básica alimentícia conforme o Decreto-Lei nº 399/1938 em supermercados da Região de Santos elaborado por estudantes bolsistas da prefeitura de Santos coordenados pela prof. </w:t>
      </w:r>
      <w:r w:rsidR="00597DFB" w:rsidRPr="004617F9">
        <w:rPr>
          <w:rFonts w:cs="Arial"/>
          <w:sz w:val="24"/>
          <w:szCs w:val="24"/>
        </w:rPr>
        <w:t>Dr. (</w:t>
      </w:r>
      <w:r w:rsidRPr="004617F9">
        <w:rPr>
          <w:rFonts w:cs="Arial"/>
          <w:sz w:val="24"/>
          <w:szCs w:val="24"/>
        </w:rPr>
        <w:t xml:space="preserve">a) Dalva Mendes </w:t>
      </w:r>
    </w:p>
    <w:p w14:paraId="04AE5EBF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Esse boletim reflete os preços médios praticados em supermercado de Santos durante </w:t>
      </w:r>
      <w:r w:rsidR="000318F0">
        <w:rPr>
          <w:rFonts w:cs="Arial"/>
          <w:sz w:val="24"/>
          <w:szCs w:val="24"/>
        </w:rPr>
        <w:t>o período de 26 de outubro a 25 de nove</w:t>
      </w:r>
      <w:r w:rsidRPr="004617F9">
        <w:rPr>
          <w:rFonts w:cs="Arial"/>
          <w:sz w:val="24"/>
          <w:szCs w:val="24"/>
        </w:rPr>
        <w:t>mbro de 2024</w:t>
      </w:r>
      <w:r w:rsidR="000318F0">
        <w:rPr>
          <w:rFonts w:cs="Arial"/>
          <w:sz w:val="24"/>
          <w:szCs w:val="24"/>
        </w:rPr>
        <w:t>.</w:t>
      </w:r>
    </w:p>
    <w:p w14:paraId="307580E2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</w:p>
    <w:p w14:paraId="26DE1A1F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ICCB – UNISANTOS: Índice do Custo da Cesta Básica de Alimentos</w:t>
      </w:r>
    </w:p>
    <w:p w14:paraId="319CDDB2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color w:val="FF0000"/>
          <w:sz w:val="24"/>
          <w:szCs w:val="24"/>
        </w:rPr>
      </w:pPr>
    </w:p>
    <w:p w14:paraId="69F1C59C" w14:textId="77777777" w:rsidR="00507ABA" w:rsidRPr="004617F9" w:rsidRDefault="00507ABA" w:rsidP="004617F9">
      <w:pPr>
        <w:spacing w:afterLines="60" w:after="144" w:line="240" w:lineRule="auto"/>
        <w:ind w:right="120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>O ICCB-UNISANTOS calcula o preço médio da cesta alimentar multiplicando as quantidades definidas no Decreto Lei nº 399/1938 pelo preço médio de cada produto pesquisado. A soma desses valores estima a cesta básica de alimentar de Santos</w:t>
      </w:r>
      <w:r w:rsidR="00B91FDD" w:rsidRPr="004617F9">
        <w:rPr>
          <w:rFonts w:cs="Arial"/>
          <w:sz w:val="24"/>
          <w:szCs w:val="24"/>
        </w:rPr>
        <w:t>.</w:t>
      </w:r>
    </w:p>
    <w:p w14:paraId="7B36EA9A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color w:val="FF0000"/>
          <w:sz w:val="24"/>
          <w:szCs w:val="24"/>
        </w:rPr>
      </w:pPr>
    </w:p>
    <w:p w14:paraId="04D31C98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Custo Básico da Cesta Alimentar em Santos - CBAS</w:t>
      </w:r>
    </w:p>
    <w:p w14:paraId="31FCB66E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sz w:val="24"/>
          <w:szCs w:val="24"/>
        </w:rPr>
      </w:pPr>
    </w:p>
    <w:p w14:paraId="46EF712D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4617F9">
        <w:rPr>
          <w:rFonts w:cs="Arial"/>
          <w:sz w:val="24"/>
          <w:szCs w:val="24"/>
        </w:rPr>
        <w:t>Os dados obtidos em Santos no período de 26 de agosto a 25 de setembro de 2024 indicam que o custo médio da Cesta no Município de Santos</w:t>
      </w:r>
      <w:r w:rsidRPr="004617F9">
        <w:rPr>
          <w:rFonts w:cs="Arial"/>
          <w:b/>
          <w:sz w:val="24"/>
          <w:szCs w:val="24"/>
        </w:rPr>
        <w:t xml:space="preserve"> – CBAS foi de R$ </w:t>
      </w:r>
      <w:r w:rsidR="00880925">
        <w:rPr>
          <w:rFonts w:eastAsia="Times New Roman" w:cs="Arial"/>
          <w:b/>
          <w:bCs/>
          <w:color w:val="000000"/>
          <w:sz w:val="24"/>
          <w:szCs w:val="24"/>
        </w:rPr>
        <w:t>720,91</w:t>
      </w:r>
    </w:p>
    <w:p w14:paraId="6AD5B5AB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color w:val="FF0000"/>
          <w:sz w:val="24"/>
          <w:szCs w:val="24"/>
        </w:rPr>
      </w:pPr>
    </w:p>
    <w:p w14:paraId="23A757A9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Custo Básico Alimentar Familiar - CBAF</w:t>
      </w:r>
    </w:p>
    <w:p w14:paraId="65DAAFA8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</w:p>
    <w:p w14:paraId="1191A1E4" w14:textId="77777777" w:rsidR="00507ABA" w:rsidRPr="004617F9" w:rsidRDefault="00507ABA" w:rsidP="004617F9">
      <w:pPr>
        <w:spacing w:before="120" w:afterLines="60" w:after="144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O salário-mínimo necessário segundo orientação constitucional é que o salário-mínimo deve suprir a necessidade básica do trabalhador e sua família. Segundo o Dieese a família modal seria composta em média por dois adultos e duas crianças e que essas crianças consumiriam alimentos correspondente a 1 adulto. Calculamos ao valor da cesta básica alimentar segundo esses parâmetros. Podemos aferir que durante o período o </w:t>
      </w:r>
      <w:r w:rsidRPr="004617F9">
        <w:rPr>
          <w:rFonts w:cs="Arial"/>
          <w:b/>
          <w:sz w:val="24"/>
          <w:szCs w:val="24"/>
        </w:rPr>
        <w:t>CBAF foi R$</w:t>
      </w:r>
      <w:r w:rsidRPr="004617F9">
        <w:rPr>
          <w:rFonts w:cs="Arial"/>
          <w:b/>
          <w:bCs/>
          <w:sz w:val="24"/>
          <w:szCs w:val="24"/>
        </w:rPr>
        <w:t xml:space="preserve"> </w:t>
      </w:r>
      <w:r w:rsidR="00880925">
        <w:rPr>
          <w:rFonts w:eastAsia="Times New Roman" w:cs="Arial"/>
          <w:b/>
          <w:bCs/>
          <w:sz w:val="24"/>
          <w:szCs w:val="24"/>
        </w:rPr>
        <w:t>2162,73</w:t>
      </w:r>
    </w:p>
    <w:p w14:paraId="1AFC63D9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</w:p>
    <w:p w14:paraId="5F8F4243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Valor do Orçamento Total Familiar (VOTF)</w:t>
      </w:r>
    </w:p>
    <w:p w14:paraId="15EDFAA8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color w:val="FF0000"/>
          <w:sz w:val="24"/>
          <w:szCs w:val="24"/>
        </w:rPr>
      </w:pPr>
    </w:p>
    <w:p w14:paraId="65B5AB3D" w14:textId="77777777" w:rsidR="001E059D" w:rsidRPr="00C36DBD" w:rsidRDefault="001E059D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A Pesquisa de Orçamento Familiar (POF), realizada pelo Dieese, estima que a alimentação representa 35,71% das despesas das famílias com menor poder aquisitivo. </w:t>
      </w:r>
      <w:r w:rsidRPr="004617F9">
        <w:rPr>
          <w:rFonts w:cs="Arial"/>
          <w:color w:val="FF0000"/>
          <w:sz w:val="24"/>
          <w:szCs w:val="24"/>
        </w:rPr>
        <w:t xml:space="preserve"> </w:t>
      </w:r>
    </w:p>
    <w:p w14:paraId="05772372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color w:val="FF0000"/>
          <w:sz w:val="24"/>
          <w:szCs w:val="24"/>
        </w:rPr>
      </w:pPr>
      <w:r w:rsidRPr="004617F9">
        <w:rPr>
          <w:rFonts w:cs="Arial"/>
          <w:sz w:val="24"/>
          <w:szCs w:val="24"/>
        </w:rPr>
        <w:lastRenderedPageBreak/>
        <w:t xml:space="preserve">Podemos aferir que a estimativa do orçamento familiar com base no período pesquisado é de </w:t>
      </w:r>
      <w:r w:rsidRPr="004617F9">
        <w:rPr>
          <w:rFonts w:cs="Arial"/>
          <w:b/>
          <w:bCs/>
          <w:sz w:val="24"/>
          <w:szCs w:val="24"/>
        </w:rPr>
        <w:t xml:space="preserve">R$ </w:t>
      </w:r>
      <w:bookmarkStart w:id="0" w:name="_Hlk178715187"/>
      <w:r w:rsidR="00880925">
        <w:rPr>
          <w:rFonts w:cs="Arial"/>
          <w:b/>
          <w:bCs/>
          <w:sz w:val="24"/>
          <w:szCs w:val="24"/>
        </w:rPr>
        <w:t>6056</w:t>
      </w:r>
      <w:r w:rsidRPr="004617F9">
        <w:rPr>
          <w:rFonts w:cs="Arial"/>
          <w:b/>
          <w:bCs/>
          <w:sz w:val="24"/>
          <w:szCs w:val="24"/>
        </w:rPr>
        <w:t>,</w:t>
      </w:r>
      <w:bookmarkEnd w:id="0"/>
      <w:r w:rsidR="00880925">
        <w:rPr>
          <w:rFonts w:cs="Arial"/>
          <w:b/>
          <w:bCs/>
          <w:sz w:val="24"/>
          <w:szCs w:val="24"/>
        </w:rPr>
        <w:t>37</w:t>
      </w:r>
    </w:p>
    <w:p w14:paraId="46978F8D" w14:textId="77777777" w:rsidR="001E059D" w:rsidRPr="004617F9" w:rsidRDefault="001E059D" w:rsidP="004617F9">
      <w:pPr>
        <w:spacing w:afterLines="60" w:after="144" w:line="240" w:lineRule="auto"/>
        <w:jc w:val="both"/>
        <w:rPr>
          <w:rFonts w:eastAsia="Times New Roman" w:cs="Arial"/>
          <w:sz w:val="24"/>
          <w:szCs w:val="24"/>
        </w:rPr>
      </w:pPr>
    </w:p>
    <w:p w14:paraId="3F6AE479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Cs/>
          <w:sz w:val="24"/>
          <w:szCs w:val="24"/>
        </w:rPr>
      </w:pPr>
      <w:r w:rsidRPr="004617F9">
        <w:rPr>
          <w:rFonts w:cs="Arial"/>
          <w:bCs/>
          <w:sz w:val="24"/>
          <w:szCs w:val="24"/>
        </w:rPr>
        <w:t xml:space="preserve">O percentual gasto no período do salário-mínimo regional de R$ 1640 com alimentos básicos para um adulto é de: </w:t>
      </w:r>
      <w:r w:rsidR="00880925">
        <w:rPr>
          <w:rFonts w:cs="Arial"/>
          <w:b/>
          <w:sz w:val="24"/>
          <w:szCs w:val="24"/>
        </w:rPr>
        <w:t>43,96</w:t>
      </w:r>
      <w:r w:rsidRPr="004617F9">
        <w:rPr>
          <w:rFonts w:cs="Arial"/>
          <w:b/>
          <w:sz w:val="24"/>
          <w:szCs w:val="24"/>
        </w:rPr>
        <w:t>%</w:t>
      </w:r>
    </w:p>
    <w:p w14:paraId="02CBBE0B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color w:val="FF0000"/>
          <w:sz w:val="24"/>
          <w:szCs w:val="24"/>
        </w:rPr>
      </w:pPr>
    </w:p>
    <w:p w14:paraId="5D46556E" w14:textId="77777777" w:rsidR="001E059D" w:rsidRPr="007E50ED" w:rsidRDefault="001E059D" w:rsidP="004617F9">
      <w:pPr>
        <w:spacing w:afterLines="60" w:after="144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17F9">
        <w:rPr>
          <w:rFonts w:cs="Arial"/>
          <w:bCs/>
          <w:sz w:val="24"/>
          <w:szCs w:val="24"/>
        </w:rPr>
        <w:t>Total de Horas trabalhadas, base salário-mínimo regional de R$ 1640, para adquirir produtos da cesta básica é de</w:t>
      </w:r>
      <w:r w:rsidR="00880925">
        <w:rPr>
          <w:rFonts w:cs="Arial"/>
          <w:b/>
          <w:sz w:val="24"/>
          <w:szCs w:val="24"/>
        </w:rPr>
        <w:t>: 96,7</w:t>
      </w:r>
      <w:r w:rsidRPr="004617F9">
        <w:rPr>
          <w:rFonts w:cs="Arial"/>
          <w:b/>
          <w:sz w:val="24"/>
          <w:szCs w:val="24"/>
        </w:rPr>
        <w:t xml:space="preserve"> horas</w:t>
      </w:r>
    </w:p>
    <w:p w14:paraId="6E4847F5" w14:textId="77777777" w:rsidR="007E50ED" w:rsidRDefault="007E50ED" w:rsidP="00C82C5B">
      <w:pPr>
        <w:spacing w:afterLines="60" w:after="144" w:line="240" w:lineRule="auto"/>
        <w:rPr>
          <w:b/>
          <w:sz w:val="24"/>
          <w:szCs w:val="24"/>
        </w:rPr>
      </w:pPr>
    </w:p>
    <w:p w14:paraId="65FD8188" w14:textId="77777777" w:rsidR="004617F9" w:rsidRDefault="004617F9" w:rsidP="00C82C5B">
      <w:pPr>
        <w:spacing w:afterLines="60" w:after="144" w:line="240" w:lineRule="auto"/>
        <w:rPr>
          <w:b/>
          <w:sz w:val="24"/>
          <w:szCs w:val="24"/>
        </w:rPr>
      </w:pPr>
    </w:p>
    <w:p w14:paraId="495F1E3D" w14:textId="77777777" w:rsidR="001E059D" w:rsidRDefault="001E059D" w:rsidP="00C82C5B">
      <w:pPr>
        <w:spacing w:afterLines="60" w:after="144" w:line="240" w:lineRule="auto"/>
        <w:jc w:val="center"/>
      </w:pPr>
      <w:r w:rsidRPr="00C82C5B">
        <w:rPr>
          <w:b/>
          <w:i/>
          <w:iCs/>
        </w:rPr>
        <w:t>Tabela 1:</w:t>
      </w:r>
      <w:r w:rsidRPr="00DB266B">
        <w:rPr>
          <w:i/>
          <w:iCs/>
        </w:rPr>
        <w:t xml:space="preserve"> </w:t>
      </w:r>
      <w:r w:rsidRPr="00DB266B">
        <w:t>Dados gerais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362"/>
      </w:tblGrid>
      <w:tr w:rsidR="00942C04" w14:paraId="07BFFD0E" w14:textId="77777777" w:rsidTr="00942C04">
        <w:trPr>
          <w:trHeight w:val="341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117F036" w14:textId="77777777" w:rsidR="00942C04" w:rsidRPr="00942C04" w:rsidRDefault="00942C04" w:rsidP="00942C04">
            <w:pPr>
              <w:spacing w:line="276" w:lineRule="auto"/>
              <w:jc w:val="both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Resumo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E673097" w14:textId="77777777" w:rsidR="00942C04" w:rsidRPr="00942C04" w:rsidRDefault="00942C04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942C04" w14:paraId="5D06A2E7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C0A6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médio da cesta em Santos - CBAS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A93D8" w14:textId="77777777" w:rsidR="00942C04" w:rsidRDefault="00880925" w:rsidP="00942C04">
            <w:pPr>
              <w:spacing w:line="276" w:lineRule="auto"/>
              <w:jc w:val="right"/>
            </w:pPr>
            <w:r>
              <w:rPr>
                <w:rFonts w:eastAsia="Times New Roman" w:cs="Calibri"/>
                <w:b/>
                <w:bCs/>
              </w:rPr>
              <w:t>720,91</w:t>
            </w:r>
          </w:p>
        </w:tc>
      </w:tr>
      <w:tr w:rsidR="00942C04" w14:paraId="743019DF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A46529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Custo Básico Alimentar Familiar - CBAF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7C9CFA7" w14:textId="77777777" w:rsidR="00942C04" w:rsidRDefault="00880925" w:rsidP="00942C04">
            <w:pPr>
              <w:spacing w:line="276" w:lineRule="auto"/>
              <w:jc w:val="right"/>
            </w:pPr>
            <w:r>
              <w:rPr>
                <w:rFonts w:eastAsia="Times New Roman" w:cs="Calibri"/>
                <w:b/>
                <w:bCs/>
              </w:rPr>
              <w:t>2162,73</w:t>
            </w:r>
          </w:p>
        </w:tc>
      </w:tr>
      <w:tr w:rsidR="00942C04" w14:paraId="6EDAAE51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5D88E7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do Orçamento Total Familiar (VOTF)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5A00BA" w14:textId="77777777" w:rsidR="00942C04" w:rsidRPr="00942C04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6056,37</w:t>
            </w:r>
          </w:p>
        </w:tc>
      </w:tr>
      <w:tr w:rsidR="00942C04" w14:paraId="36BF4462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5E55F5" w14:textId="77777777" w:rsidR="00942C04" w:rsidRDefault="00942C04" w:rsidP="00942C04">
            <w:pPr>
              <w:spacing w:line="276" w:lineRule="auto"/>
              <w:jc w:val="both"/>
            </w:pPr>
            <w:r w:rsidRPr="00CD6F48">
              <w:rPr>
                <w:rFonts w:cs="Times New Roman"/>
              </w:rPr>
              <w:t>Percentual gasto do salário-Mínimo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C146DA5" w14:textId="77777777" w:rsidR="00942C04" w:rsidRPr="00942C04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43,96</w:t>
            </w:r>
            <w:r w:rsidR="00942C04">
              <w:rPr>
                <w:rFonts w:eastAsia="Times New Roman" w:cs="Calibri"/>
                <w:b/>
                <w:bCs/>
              </w:rPr>
              <w:t>%</w:t>
            </w:r>
          </w:p>
        </w:tc>
      </w:tr>
      <w:tr w:rsidR="00942C04" w14:paraId="7730DF28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AF3DBD" w14:textId="77777777" w:rsidR="00942C04" w:rsidRDefault="00942C04" w:rsidP="00942C04">
            <w:pPr>
              <w:spacing w:line="276" w:lineRule="auto"/>
              <w:jc w:val="both"/>
            </w:pPr>
            <w:r w:rsidRPr="00CD6F48">
              <w:rPr>
                <w:rFonts w:cs="Times New Roman"/>
              </w:rPr>
              <w:t>Total de Horas trabalhadas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7E06934" w14:textId="77777777" w:rsidR="00942C04" w:rsidRPr="00942C04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96,7</w:t>
            </w:r>
            <w:r w:rsidR="00942C04">
              <w:rPr>
                <w:rFonts w:eastAsia="Times New Roman" w:cs="Calibri"/>
                <w:b/>
                <w:bCs/>
              </w:rPr>
              <w:t>,1h</w:t>
            </w:r>
          </w:p>
        </w:tc>
      </w:tr>
      <w:tr w:rsidR="00942C04" w14:paraId="6E672801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EDF7B2" w14:textId="77777777" w:rsidR="00942C04" w:rsidRDefault="00942C04" w:rsidP="00942C04">
            <w:pPr>
              <w:spacing w:line="276" w:lineRule="auto"/>
              <w:jc w:val="both"/>
            </w:pPr>
            <w:proofErr w:type="spellStart"/>
            <w:r w:rsidRPr="00CD6F48">
              <w:rPr>
                <w:rFonts w:cs="Times New Roman"/>
              </w:rPr>
              <w:t>Indice</w:t>
            </w:r>
            <w:proofErr w:type="spellEnd"/>
            <w:r w:rsidRPr="00CD6F48">
              <w:rPr>
                <w:rFonts w:cs="Times New Roman"/>
              </w:rPr>
              <w:t xml:space="preserve"> </w:t>
            </w:r>
            <w:proofErr w:type="spellStart"/>
            <w:r w:rsidRPr="00CD6F48">
              <w:rPr>
                <w:rFonts w:cs="Times New Roman"/>
              </w:rPr>
              <w:t>Laspeyres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C442C5F" w14:textId="77777777" w:rsidR="00942C04" w:rsidRPr="00942C04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1,0464</w:t>
            </w:r>
          </w:p>
        </w:tc>
      </w:tr>
      <w:tr w:rsidR="00942C04" w14:paraId="15DE51D5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692FF" w14:textId="77777777" w:rsidR="00942C04" w:rsidRDefault="00AB15E7" w:rsidP="00942C04">
            <w:pPr>
              <w:spacing w:line="276" w:lineRule="auto"/>
              <w:jc w:val="both"/>
            </w:pPr>
            <w:r>
              <w:rPr>
                <w:rFonts w:cs="Times New Roman"/>
              </w:rPr>
              <w:t>Aumento</w:t>
            </w:r>
            <w:r w:rsidR="00942C04" w:rsidRPr="00CD6F48">
              <w:rPr>
                <w:rFonts w:cs="Times New Roman"/>
              </w:rPr>
              <w:t xml:space="preserve"> 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1F205" w14:textId="77777777" w:rsidR="00942C04" w:rsidRPr="00942C04" w:rsidRDefault="00AB15E7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4</w:t>
            </w:r>
            <w:r w:rsidR="00942C04">
              <w:rPr>
                <w:rFonts w:eastAsia="Times New Roman" w:cs="Calibri"/>
                <w:b/>
                <w:bCs/>
              </w:rPr>
              <w:t>,6</w:t>
            </w:r>
            <w:r>
              <w:rPr>
                <w:rFonts w:eastAsia="Times New Roman" w:cs="Calibri"/>
                <w:b/>
                <w:bCs/>
              </w:rPr>
              <w:t>4</w:t>
            </w:r>
            <w:r w:rsidR="00942C04">
              <w:rPr>
                <w:rFonts w:eastAsia="Times New Roman" w:cs="Calibri"/>
                <w:b/>
                <w:bCs/>
              </w:rPr>
              <w:t>%</w:t>
            </w:r>
          </w:p>
        </w:tc>
      </w:tr>
    </w:tbl>
    <w:p w14:paraId="0CF60BB5" w14:textId="77777777" w:rsidR="005B5258" w:rsidRDefault="005B5258" w:rsidP="001E059D">
      <w:pPr>
        <w:spacing w:line="276" w:lineRule="auto"/>
        <w:jc w:val="both"/>
        <w:rPr>
          <w:b/>
          <w:sz w:val="23"/>
        </w:rPr>
      </w:pPr>
    </w:p>
    <w:p w14:paraId="562BE27D" w14:textId="77777777" w:rsidR="007E50ED" w:rsidRDefault="007E50ED" w:rsidP="001E059D">
      <w:pPr>
        <w:spacing w:line="276" w:lineRule="auto"/>
        <w:jc w:val="both"/>
        <w:rPr>
          <w:b/>
          <w:sz w:val="23"/>
        </w:rPr>
      </w:pPr>
    </w:p>
    <w:p w14:paraId="6C9CB70A" w14:textId="77777777" w:rsidR="00C82C5B" w:rsidRDefault="00C82C5B" w:rsidP="00071099">
      <w:pPr>
        <w:tabs>
          <w:tab w:val="center" w:pos="5021"/>
        </w:tabs>
        <w:spacing w:line="240" w:lineRule="auto"/>
        <w:ind w:right="-239"/>
        <w:jc w:val="center"/>
        <w:rPr>
          <w:rFonts w:cs="Times New Roman"/>
          <w:bCs/>
          <w:i/>
          <w:iCs/>
        </w:rPr>
      </w:pPr>
      <w:r w:rsidRPr="00C82C5B">
        <w:rPr>
          <w:b/>
          <w:bCs/>
          <w:i/>
          <w:iCs/>
        </w:rPr>
        <w:t>Tabela 2:</w:t>
      </w:r>
      <w:r>
        <w:rPr>
          <w:bCs/>
          <w:i/>
          <w:iCs/>
        </w:rPr>
        <w:t xml:space="preserve"> </w:t>
      </w:r>
      <w:r w:rsidRPr="00200F84">
        <w:rPr>
          <w:bCs/>
          <w:i/>
          <w:iCs/>
        </w:rPr>
        <w:t xml:space="preserve"> </w:t>
      </w:r>
      <w:r w:rsidRPr="00C82C5B">
        <w:rPr>
          <w:rFonts w:cs="Times New Roman"/>
          <w:bCs/>
          <w:iCs/>
        </w:rPr>
        <w:t>Máximo e Mínimo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362"/>
      </w:tblGrid>
      <w:tr w:rsidR="00071099" w:rsidRPr="00942C04" w14:paraId="26ECFCAE" w14:textId="77777777" w:rsidTr="00AB5F1B">
        <w:trPr>
          <w:trHeight w:val="341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26EE79" w14:textId="77777777" w:rsidR="00071099" w:rsidRPr="00942C04" w:rsidRDefault="00071099" w:rsidP="00AB5F1B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7976AE8" w14:textId="77777777" w:rsidR="00071099" w:rsidRPr="00942C04" w:rsidRDefault="00071099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071099" w14:paraId="2F73E44C" w14:textId="77777777" w:rsidTr="00AB5F1B">
        <w:trPr>
          <w:trHeight w:val="310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6741A" w14:textId="77777777" w:rsidR="00071099" w:rsidRPr="00942C04" w:rsidRDefault="00071099" w:rsidP="00AB5F1B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máximo da cesta em Santos - CBAS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01EE" w14:textId="77777777" w:rsidR="00071099" w:rsidRPr="00071099" w:rsidRDefault="00AB15E7" w:rsidP="00071099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746,36</w:t>
            </w:r>
          </w:p>
        </w:tc>
      </w:tr>
      <w:tr w:rsidR="00071099" w:rsidRPr="00942C04" w14:paraId="1DD85238" w14:textId="77777777" w:rsidTr="00AB5F1B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137A" w14:textId="77777777" w:rsidR="00071099" w:rsidRPr="00071099" w:rsidRDefault="00071099" w:rsidP="00071099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mínimo da cesta em Santos - CBAS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9D6F4" w14:textId="77777777" w:rsidR="00071099" w:rsidRPr="00942C04" w:rsidRDefault="00AB15E7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695,45</w:t>
            </w:r>
          </w:p>
        </w:tc>
      </w:tr>
    </w:tbl>
    <w:p w14:paraId="0ED6E053" w14:textId="77777777" w:rsidR="005B5258" w:rsidRDefault="005B5258" w:rsidP="00C82C5B">
      <w:pPr>
        <w:tabs>
          <w:tab w:val="center" w:pos="5021"/>
        </w:tabs>
        <w:spacing w:line="0" w:lineRule="atLeast"/>
        <w:ind w:right="-239"/>
        <w:rPr>
          <w:bCs/>
          <w:sz w:val="23"/>
        </w:rPr>
      </w:pPr>
    </w:p>
    <w:p w14:paraId="6468898C" w14:textId="77777777" w:rsidR="007E50ED" w:rsidRDefault="007E50ED" w:rsidP="00C82C5B">
      <w:pPr>
        <w:tabs>
          <w:tab w:val="center" w:pos="5021"/>
        </w:tabs>
        <w:spacing w:line="0" w:lineRule="atLeast"/>
        <w:ind w:right="-239"/>
        <w:rPr>
          <w:bCs/>
          <w:sz w:val="23"/>
        </w:rPr>
      </w:pPr>
    </w:p>
    <w:p w14:paraId="19719EF2" w14:textId="77777777" w:rsidR="00071099" w:rsidRPr="00071099" w:rsidRDefault="00071099" w:rsidP="00071099">
      <w:pPr>
        <w:tabs>
          <w:tab w:val="center" w:pos="5021"/>
        </w:tabs>
        <w:spacing w:line="240" w:lineRule="auto"/>
        <w:ind w:right="-239"/>
        <w:jc w:val="center"/>
        <w:rPr>
          <w:rFonts w:cs="Times New Roman"/>
          <w:bCs/>
          <w:iCs/>
        </w:rPr>
      </w:pPr>
      <w:r w:rsidRPr="00071099">
        <w:rPr>
          <w:rFonts w:cs="Times New Roman"/>
          <w:b/>
          <w:bCs/>
          <w:i/>
          <w:iCs/>
        </w:rPr>
        <w:t>Tabela 3:</w:t>
      </w:r>
      <w:r w:rsidRPr="00071099">
        <w:rPr>
          <w:rFonts w:cs="Times New Roman"/>
          <w:bCs/>
          <w:iCs/>
        </w:rPr>
        <w:t xml:space="preserve"> </w:t>
      </w:r>
      <w:r w:rsidRPr="00B74A26">
        <w:rPr>
          <w:rFonts w:cs="Times New Roman"/>
          <w:bCs/>
          <w:iCs/>
        </w:rPr>
        <w:t>Valores Médios</w:t>
      </w:r>
      <w:r w:rsidR="00B74A26">
        <w:rPr>
          <w:rFonts w:cs="Times New Roman"/>
          <w:bCs/>
          <w:iCs/>
        </w:rPr>
        <w:t xml:space="preserve"> por Zona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244"/>
      </w:tblGrid>
      <w:tr w:rsidR="00071099" w14:paraId="0EE0024B" w14:textId="77777777" w:rsidTr="00277F6D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6EB70A6" w14:textId="77777777" w:rsidR="00071099" w:rsidRPr="00942C04" w:rsidRDefault="00071099" w:rsidP="00AB5F1B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14D55C4" w14:textId="77777777" w:rsidR="00071099" w:rsidRPr="00942C04" w:rsidRDefault="00071099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071099" w14:paraId="1C3141A7" w14:textId="77777777" w:rsidTr="00277F6D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4B2AA" w14:textId="77777777" w:rsidR="00071099" w:rsidRPr="00942C04" w:rsidRDefault="00B74A26" w:rsidP="00AB5F1B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70AAD" w14:textId="77777777" w:rsidR="00071099" w:rsidRDefault="00AB15E7" w:rsidP="00AB5F1B">
            <w:pPr>
              <w:spacing w:line="276" w:lineRule="auto"/>
              <w:jc w:val="right"/>
            </w:pPr>
            <w:r>
              <w:rPr>
                <w:rFonts w:cs="Calibri"/>
                <w:b/>
                <w:bCs/>
              </w:rPr>
              <w:t>694,1</w:t>
            </w:r>
            <w:r w:rsidR="00B74A26" w:rsidRPr="00CD6F48">
              <w:rPr>
                <w:rFonts w:cs="Calibri"/>
                <w:b/>
                <w:bCs/>
              </w:rPr>
              <w:t>6</w:t>
            </w:r>
          </w:p>
        </w:tc>
      </w:tr>
      <w:tr w:rsidR="00071099" w14:paraId="4FAE8D65" w14:textId="77777777" w:rsidTr="00277F6D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B05CFD" w14:textId="77777777" w:rsidR="00071099" w:rsidRPr="00942C04" w:rsidRDefault="00B74A26" w:rsidP="00AB5F1B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0EC2E07" w14:textId="77777777" w:rsidR="00071099" w:rsidRPr="00B74A26" w:rsidRDefault="00AB15E7" w:rsidP="00B74A26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680,30</w:t>
            </w:r>
            <w:r w:rsidR="00B74A26" w:rsidRPr="00CD6F48">
              <w:rPr>
                <w:rFonts w:cs="Calibri"/>
                <w:b/>
                <w:bCs/>
              </w:rPr>
              <w:t xml:space="preserve"> </w:t>
            </w:r>
          </w:p>
        </w:tc>
      </w:tr>
      <w:tr w:rsidR="00071099" w14:paraId="37EA3109" w14:textId="77777777" w:rsidTr="00277F6D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734723" w14:textId="77777777" w:rsidR="00071099" w:rsidRDefault="00B74A26" w:rsidP="00AB5F1B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F7CF5B0" w14:textId="77777777" w:rsidR="00071099" w:rsidRPr="00942C04" w:rsidRDefault="00AB15E7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765,63</w:t>
            </w:r>
          </w:p>
        </w:tc>
      </w:tr>
      <w:tr w:rsidR="00071099" w14:paraId="04F01F22" w14:textId="77777777" w:rsidTr="00277F6D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806C7" w14:textId="77777777" w:rsidR="00071099" w:rsidRDefault="00B74A26" w:rsidP="00AB5F1B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8D855" w14:textId="77777777" w:rsidR="00071099" w:rsidRPr="00942C04" w:rsidRDefault="00BE7D26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681,84</w:t>
            </w:r>
          </w:p>
        </w:tc>
      </w:tr>
    </w:tbl>
    <w:p w14:paraId="0AE6FE32" w14:textId="77777777" w:rsidR="00007FB8" w:rsidRDefault="00007FB8">
      <w:pPr>
        <w:rPr>
          <w:b/>
          <w:bCs/>
          <w:i/>
          <w:iCs/>
          <w:szCs w:val="24"/>
        </w:rPr>
      </w:pPr>
    </w:p>
    <w:p w14:paraId="5AB28966" w14:textId="77777777" w:rsidR="00C36DBD" w:rsidRDefault="00C36DBD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br w:type="page"/>
      </w:r>
    </w:p>
    <w:p w14:paraId="0E4DE19A" w14:textId="77777777" w:rsidR="00C36DBD" w:rsidRDefault="00C36DBD" w:rsidP="00B61509">
      <w:pPr>
        <w:spacing w:line="240" w:lineRule="auto"/>
        <w:jc w:val="center"/>
        <w:rPr>
          <w:b/>
          <w:bCs/>
          <w:i/>
          <w:iCs/>
          <w:szCs w:val="24"/>
        </w:rPr>
      </w:pPr>
    </w:p>
    <w:p w14:paraId="5CD498BA" w14:textId="77777777" w:rsidR="00B61509" w:rsidRDefault="00B61509" w:rsidP="00B61509">
      <w:pPr>
        <w:spacing w:line="240" w:lineRule="auto"/>
        <w:jc w:val="center"/>
        <w:rPr>
          <w:bCs/>
          <w:iCs/>
          <w:szCs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 wp14:anchorId="191C4DE7" wp14:editId="6DE563DE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4933950" cy="2867025"/>
            <wp:effectExtent l="0" t="0" r="0" b="9525"/>
            <wp:wrapTopAndBottom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47BBA" w:rsidRPr="00647BBA">
        <w:rPr>
          <w:b/>
          <w:bCs/>
          <w:i/>
          <w:iCs/>
          <w:szCs w:val="24"/>
        </w:rPr>
        <w:t>Gráfico 1:</w:t>
      </w:r>
      <w:r w:rsidR="00647BBA" w:rsidRPr="00647BBA">
        <w:rPr>
          <w:bCs/>
          <w:iCs/>
          <w:szCs w:val="24"/>
        </w:rPr>
        <w:t xml:space="preserve"> Cesta Básica Alimentar Média por Zona</w:t>
      </w:r>
      <w:r>
        <w:rPr>
          <w:bCs/>
          <w:iCs/>
          <w:szCs w:val="24"/>
        </w:rPr>
        <w:t xml:space="preserve"> (R$)</w:t>
      </w:r>
    </w:p>
    <w:p w14:paraId="62F3F1DB" w14:textId="77777777" w:rsidR="00E05EEB" w:rsidRDefault="00E05EEB" w:rsidP="00B61509">
      <w:pPr>
        <w:spacing w:line="240" w:lineRule="auto"/>
        <w:rPr>
          <w:bCs/>
          <w:iCs/>
          <w:szCs w:val="24"/>
        </w:rPr>
      </w:pPr>
    </w:p>
    <w:p w14:paraId="43925A0A" w14:textId="77777777" w:rsidR="00891968" w:rsidRDefault="00891968" w:rsidP="00B61509">
      <w:pPr>
        <w:spacing w:line="240" w:lineRule="auto"/>
        <w:rPr>
          <w:bCs/>
          <w:iCs/>
          <w:szCs w:val="24"/>
        </w:rPr>
      </w:pPr>
    </w:p>
    <w:p w14:paraId="609518A8" w14:textId="77777777" w:rsidR="00B61509" w:rsidRPr="00B61509" w:rsidRDefault="00B61509" w:rsidP="00B61509">
      <w:pPr>
        <w:spacing w:line="276" w:lineRule="auto"/>
        <w:jc w:val="center"/>
        <w:rPr>
          <w:sz w:val="24"/>
        </w:rPr>
      </w:pPr>
      <w:r w:rsidRPr="00CA2359">
        <w:rPr>
          <w:rFonts w:cs="Times New Roman"/>
          <w:b/>
          <w:bCs/>
          <w:i/>
          <w:iCs/>
        </w:rPr>
        <w:t>Tabela 4:</w:t>
      </w:r>
      <w:r>
        <w:rPr>
          <w:sz w:val="24"/>
        </w:rPr>
        <w:t xml:space="preserve"> </w:t>
      </w:r>
      <w:r w:rsidRPr="00CA2359">
        <w:rPr>
          <w:rFonts w:cs="Times New Roman"/>
          <w:bCs/>
          <w:iCs/>
        </w:rPr>
        <w:t>Variação percentual da cesta básica Média por Zona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11"/>
      </w:tblGrid>
      <w:tr w:rsidR="006A1676" w14:paraId="0F3F20A7" w14:textId="77777777" w:rsidTr="006A1676">
        <w:trPr>
          <w:trHeight w:val="34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2DFDBDE" w14:textId="77777777" w:rsidR="006A1676" w:rsidRPr="00942C04" w:rsidRDefault="006A1676" w:rsidP="008D3EE2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02B0A2" w14:textId="77777777" w:rsidR="006A1676" w:rsidRPr="00942C04" w:rsidRDefault="006A1676" w:rsidP="008D3EE2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Variação (%</w:t>
            </w:r>
            <w:r w:rsidRPr="00942C04">
              <w:rPr>
                <w:b/>
                <w:sz w:val="24"/>
              </w:rPr>
              <w:t>)</w:t>
            </w:r>
          </w:p>
        </w:tc>
      </w:tr>
      <w:tr w:rsidR="006A1676" w14:paraId="33D4923F" w14:textId="77777777" w:rsidTr="006A1676">
        <w:trPr>
          <w:trHeight w:val="316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46C6E" w14:textId="77777777" w:rsidR="006A1676" w:rsidRPr="00942C04" w:rsidRDefault="006A1676" w:rsidP="008D3EE2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06F90" w14:textId="77777777" w:rsidR="006A1676" w:rsidRPr="00403B37" w:rsidRDefault="00403B37" w:rsidP="008D3EE2">
            <w:pPr>
              <w:spacing w:line="276" w:lineRule="auto"/>
              <w:jc w:val="right"/>
            </w:pPr>
            <w:r w:rsidRPr="00403B37">
              <w:rPr>
                <w:rFonts w:cs="Calibri"/>
                <w:bCs/>
              </w:rPr>
              <w:t>5,58</w:t>
            </w:r>
          </w:p>
        </w:tc>
      </w:tr>
      <w:tr w:rsidR="006A1676" w14:paraId="06C45A82" w14:textId="77777777" w:rsidTr="006A1676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B57CB" w14:textId="77777777" w:rsidR="006A1676" w:rsidRPr="00942C04" w:rsidRDefault="006A1676" w:rsidP="008D3EE2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1640FF0" w14:textId="77777777" w:rsidR="006A1676" w:rsidRPr="00403B37" w:rsidRDefault="00403B37" w:rsidP="008D3EE2">
            <w:pPr>
              <w:jc w:val="right"/>
              <w:rPr>
                <w:rFonts w:cs="Calibri"/>
                <w:bCs/>
              </w:rPr>
            </w:pPr>
            <w:r w:rsidRPr="00403B37">
              <w:rPr>
                <w:rFonts w:cs="Calibri"/>
                <w:bCs/>
              </w:rPr>
              <w:t>5</w:t>
            </w:r>
            <w:r w:rsidR="006A1676" w:rsidRPr="00403B37">
              <w:rPr>
                <w:rFonts w:cs="Calibri"/>
                <w:bCs/>
              </w:rPr>
              <w:t>,</w:t>
            </w:r>
            <w:r w:rsidRPr="00403B37">
              <w:rPr>
                <w:rFonts w:cs="Calibri"/>
                <w:bCs/>
              </w:rPr>
              <w:t>12</w:t>
            </w:r>
            <w:r w:rsidR="006A1676" w:rsidRPr="00403B37">
              <w:rPr>
                <w:rFonts w:cs="Calibri"/>
                <w:bCs/>
              </w:rPr>
              <w:t xml:space="preserve"> </w:t>
            </w:r>
          </w:p>
        </w:tc>
      </w:tr>
      <w:tr w:rsidR="006A1676" w14:paraId="105B0492" w14:textId="77777777" w:rsidTr="006A1676">
        <w:trPr>
          <w:trHeight w:val="3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0EB6B" w14:textId="77777777" w:rsidR="006A1676" w:rsidRDefault="006A1676" w:rsidP="008D3EE2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AE43892" w14:textId="77777777" w:rsidR="006A1676" w:rsidRPr="00403B37" w:rsidRDefault="00403B37" w:rsidP="008D3EE2">
            <w:pPr>
              <w:spacing w:line="276" w:lineRule="auto"/>
              <w:jc w:val="right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4,24</w:t>
            </w:r>
          </w:p>
        </w:tc>
      </w:tr>
      <w:tr w:rsidR="006A1676" w14:paraId="74378B43" w14:textId="77777777" w:rsidTr="006A1676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B0C1D" w14:textId="77777777" w:rsidR="006A1676" w:rsidRDefault="006A1676" w:rsidP="008D3EE2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7B6B" w14:textId="77777777" w:rsidR="006A1676" w:rsidRPr="00403B37" w:rsidRDefault="001D4569" w:rsidP="008D3EE2">
            <w:pPr>
              <w:spacing w:line="276" w:lineRule="auto"/>
              <w:jc w:val="right"/>
              <w:rPr>
                <w:rFonts w:eastAsia="Times New Roman" w:cs="Calibri"/>
                <w:bCs/>
              </w:rPr>
            </w:pPr>
            <w:r w:rsidRPr="00403B37">
              <w:rPr>
                <w:rFonts w:cs="Calibri"/>
                <w:bCs/>
              </w:rPr>
              <w:t>6</w:t>
            </w:r>
            <w:r w:rsidR="00403B37">
              <w:rPr>
                <w:rFonts w:cs="Calibri"/>
                <w:bCs/>
              </w:rPr>
              <w:t>,16</w:t>
            </w:r>
          </w:p>
        </w:tc>
      </w:tr>
    </w:tbl>
    <w:p w14:paraId="11E68FEA" w14:textId="77777777" w:rsidR="00E05EEB" w:rsidRDefault="00E05EEB" w:rsidP="00CA2359">
      <w:pPr>
        <w:spacing w:line="276" w:lineRule="auto"/>
        <w:rPr>
          <w:sz w:val="24"/>
        </w:rPr>
      </w:pPr>
    </w:p>
    <w:p w14:paraId="552BC02D" w14:textId="77777777" w:rsidR="00F625F7" w:rsidRDefault="00803D39" w:rsidP="00EC3AE7">
      <w:pPr>
        <w:spacing w:line="276" w:lineRule="auto"/>
        <w:jc w:val="center"/>
        <w:rPr>
          <w:rFonts w:cs="Times New Roman"/>
          <w:bCs/>
          <w:iCs/>
        </w:rPr>
      </w:pPr>
      <w:r>
        <w:rPr>
          <w:rFonts w:cs="Times New Roman"/>
          <w:b/>
          <w:bCs/>
          <w:i/>
          <w:iCs/>
        </w:rPr>
        <w:t>G</w:t>
      </w:r>
      <w:r w:rsidR="00EC7516" w:rsidRPr="00CA2359">
        <w:rPr>
          <w:rFonts w:cs="Times New Roman"/>
          <w:b/>
          <w:bCs/>
          <w:i/>
          <w:iCs/>
        </w:rPr>
        <w:t>ráfico 2:</w:t>
      </w:r>
      <w:r w:rsidR="00CA2359">
        <w:rPr>
          <w:sz w:val="24"/>
        </w:rPr>
        <w:t xml:space="preserve"> </w:t>
      </w:r>
      <w:r w:rsidR="00EC7516" w:rsidRPr="00CA2359">
        <w:rPr>
          <w:rFonts w:cs="Times New Roman"/>
          <w:bCs/>
          <w:iCs/>
        </w:rPr>
        <w:t>Variação percentual da cesta básica Média por Zona</w:t>
      </w:r>
    </w:p>
    <w:p w14:paraId="0A7852B8" w14:textId="77777777" w:rsidR="001B1FB3" w:rsidRPr="00EC3AE7" w:rsidRDefault="001B1FB3" w:rsidP="00EC3AE7">
      <w:pPr>
        <w:spacing w:line="276" w:lineRule="auto"/>
        <w:jc w:val="center"/>
        <w:rPr>
          <w:rFonts w:cs="Times New Roman"/>
          <w:bCs/>
          <w:iCs/>
        </w:rPr>
      </w:pPr>
    </w:p>
    <w:p w14:paraId="450A248D" w14:textId="77777777" w:rsidR="00803D39" w:rsidRDefault="00EC3AE7" w:rsidP="00803D39">
      <w:pPr>
        <w:spacing w:line="276" w:lineRule="auto"/>
        <w:jc w:val="center"/>
        <w:rPr>
          <w:rFonts w:cs="Times New Roman"/>
          <w:b/>
          <w:bCs/>
          <w:i/>
          <w:iCs/>
        </w:rPr>
      </w:pPr>
      <w:r>
        <w:rPr>
          <w:noProof/>
          <w:lang w:eastAsia="pt-BR"/>
        </w:rPr>
        <w:drawing>
          <wp:inline distT="0" distB="0" distL="0" distR="0" wp14:anchorId="14352A65" wp14:editId="56A82A26">
            <wp:extent cx="4819650" cy="19335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29088B" w14:textId="77777777" w:rsidR="00803D39" w:rsidRDefault="00803D39" w:rsidP="00803D39">
      <w:pPr>
        <w:rPr>
          <w:rFonts w:cs="Times New Roman"/>
          <w:b/>
          <w:bCs/>
          <w:i/>
          <w:iCs/>
        </w:rPr>
      </w:pPr>
    </w:p>
    <w:p w14:paraId="0E3995BD" w14:textId="77777777" w:rsidR="00EC3AE7" w:rsidRDefault="00EC3AE7" w:rsidP="00647BBA">
      <w:pPr>
        <w:spacing w:line="276" w:lineRule="auto"/>
        <w:jc w:val="center"/>
        <w:rPr>
          <w:rFonts w:cs="Times New Roman"/>
          <w:b/>
          <w:bCs/>
          <w:i/>
          <w:iCs/>
        </w:rPr>
      </w:pPr>
    </w:p>
    <w:p w14:paraId="523233F3" w14:textId="77777777" w:rsidR="00EF1D54" w:rsidRPr="00EF1D54" w:rsidRDefault="00EF1D54" w:rsidP="00647BBA">
      <w:pPr>
        <w:spacing w:line="276" w:lineRule="auto"/>
        <w:jc w:val="center"/>
        <w:rPr>
          <w:rFonts w:cs="Times New Roman"/>
          <w:bCs/>
          <w:iCs/>
        </w:rPr>
      </w:pPr>
      <w:r w:rsidRPr="00EF1D54">
        <w:rPr>
          <w:rFonts w:cs="Times New Roman"/>
          <w:b/>
          <w:bCs/>
          <w:i/>
          <w:iCs/>
        </w:rPr>
        <w:t>Tabela 5</w:t>
      </w:r>
      <w:r w:rsidRPr="00EF1D54">
        <w:rPr>
          <w:rFonts w:cs="Times New Roman"/>
          <w:bCs/>
          <w:iCs/>
        </w:rPr>
        <w:t>:</w:t>
      </w:r>
      <w:r w:rsidR="00E03817">
        <w:rPr>
          <w:rFonts w:cs="Times New Roman"/>
          <w:bCs/>
          <w:iCs/>
        </w:rPr>
        <w:t xml:space="preserve"> </w:t>
      </w:r>
      <w:r w:rsidRPr="00EF1D54">
        <w:rPr>
          <w:rFonts w:cs="Times New Roman"/>
          <w:bCs/>
          <w:iCs/>
        </w:rPr>
        <w:t>Valores mínimos e máximos por zona (R$)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11"/>
        <w:gridCol w:w="1811"/>
      </w:tblGrid>
      <w:tr w:rsidR="00EF1D54" w14:paraId="14553373" w14:textId="77777777" w:rsidTr="009E6501">
        <w:trPr>
          <w:trHeight w:val="34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AFFC545" w14:textId="77777777" w:rsidR="00EF1D54" w:rsidRPr="00942C04" w:rsidRDefault="00EF1D54" w:rsidP="003A49D6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3FD9A8" w14:textId="77777777" w:rsidR="00EF1D54" w:rsidRDefault="00EF1D54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Máximo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98DE9F5" w14:textId="77777777" w:rsidR="00EF1D54" w:rsidRPr="00942C04" w:rsidRDefault="00EF1D54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Mínimo</w:t>
            </w:r>
          </w:p>
        </w:tc>
      </w:tr>
      <w:tr w:rsidR="00EF1D54" w14:paraId="1574403D" w14:textId="77777777" w:rsidTr="009E6501">
        <w:trPr>
          <w:trHeight w:val="316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37548" w14:textId="77777777" w:rsidR="00EF1D54" w:rsidRPr="00942C04" w:rsidRDefault="00EF1D54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70EF7" w14:textId="77777777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720,55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0254" w14:textId="77777777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667,7</w:t>
            </w:r>
            <w:r w:rsidR="00B970EE">
              <w:rPr>
                <w:rFonts w:cs="Calibri"/>
                <w:b/>
                <w:bCs/>
              </w:rPr>
              <w:t>7</w:t>
            </w:r>
          </w:p>
        </w:tc>
      </w:tr>
      <w:tr w:rsidR="00EF1D54" w14:paraId="718B27BC" w14:textId="77777777" w:rsidTr="009E6501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110F8" w14:textId="77777777" w:rsidR="00EF1D54" w:rsidRPr="00942C04" w:rsidRDefault="00EF1D54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A84C566" w14:textId="77777777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706,38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295A295" w14:textId="77777777" w:rsidR="00EF1D54" w:rsidRPr="00EF1D54" w:rsidRDefault="00E55AD4" w:rsidP="003A49D6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654,23</w:t>
            </w:r>
            <w:r w:rsidR="00EF1D54" w:rsidRPr="00EF1D54">
              <w:rPr>
                <w:rFonts w:cs="Calibri"/>
                <w:b/>
                <w:bCs/>
              </w:rPr>
              <w:t xml:space="preserve"> </w:t>
            </w:r>
          </w:p>
        </w:tc>
      </w:tr>
      <w:tr w:rsidR="00EF1D54" w14:paraId="6A021DB7" w14:textId="77777777" w:rsidTr="009E6501">
        <w:trPr>
          <w:trHeight w:val="3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05003" w14:textId="77777777" w:rsidR="00EF1D54" w:rsidRDefault="00EF1D54" w:rsidP="003A49D6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F8A282F" w14:textId="77777777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790,32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234432E" w14:textId="77777777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740,95</w:t>
            </w:r>
          </w:p>
        </w:tc>
      </w:tr>
      <w:tr w:rsidR="00EF1D54" w14:paraId="055514C7" w14:textId="77777777" w:rsidTr="009E6501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E5CC" w14:textId="77777777" w:rsidR="00EF1D54" w:rsidRDefault="00EF1D54" w:rsidP="003A49D6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EA7A9" w14:textId="77777777" w:rsidR="00EF1D54" w:rsidRPr="00EF1D54" w:rsidRDefault="009B246F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708,31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2F59B" w14:textId="77777777" w:rsidR="00EF1D54" w:rsidRPr="00EF1D54" w:rsidRDefault="00310899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655,38</w:t>
            </w:r>
          </w:p>
        </w:tc>
      </w:tr>
    </w:tbl>
    <w:p w14:paraId="2C0AC520" w14:textId="77777777" w:rsidR="00B91FDD" w:rsidRDefault="00B91FDD" w:rsidP="00597DFB">
      <w:pPr>
        <w:spacing w:line="276" w:lineRule="auto"/>
        <w:rPr>
          <w:sz w:val="24"/>
        </w:rPr>
      </w:pPr>
    </w:p>
    <w:p w14:paraId="34392442" w14:textId="77777777" w:rsidR="00B91FDD" w:rsidRDefault="00E05EEB" w:rsidP="00E05EEB">
      <w:pPr>
        <w:jc w:val="center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64384" behindDoc="0" locked="0" layoutInCell="1" allowOverlap="1" wp14:anchorId="0C65DC42" wp14:editId="3ABF8B65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4914900" cy="2647950"/>
            <wp:effectExtent l="0" t="0" r="0" b="0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DFB" w:rsidRPr="00597DFB">
        <w:rPr>
          <w:rFonts w:cs="Times New Roman"/>
          <w:b/>
          <w:bCs/>
          <w:i/>
          <w:iCs/>
        </w:rPr>
        <w:t>Gráfico 3:</w:t>
      </w:r>
      <w:r w:rsidR="00E03817">
        <w:rPr>
          <w:sz w:val="24"/>
        </w:rPr>
        <w:t xml:space="preserve"> </w:t>
      </w:r>
      <w:r w:rsidR="00597DFB" w:rsidRPr="00597DFB">
        <w:rPr>
          <w:rFonts w:cs="Times New Roman"/>
          <w:bCs/>
          <w:iCs/>
        </w:rPr>
        <w:t>Valores mínimos e máximos por Zona</w:t>
      </w:r>
    </w:p>
    <w:p w14:paraId="0F30C455" w14:textId="77777777" w:rsidR="00B91FDD" w:rsidRDefault="00B91FDD" w:rsidP="00E03817">
      <w:pPr>
        <w:spacing w:line="276" w:lineRule="auto"/>
        <w:rPr>
          <w:sz w:val="24"/>
        </w:rPr>
      </w:pPr>
    </w:p>
    <w:p w14:paraId="5CE8A7E0" w14:textId="77777777" w:rsidR="00E03817" w:rsidRDefault="00E03817" w:rsidP="00E03817">
      <w:pPr>
        <w:spacing w:line="276" w:lineRule="auto"/>
        <w:jc w:val="center"/>
        <w:rPr>
          <w:sz w:val="24"/>
        </w:rPr>
      </w:pPr>
      <w:r>
        <w:rPr>
          <w:rFonts w:cs="Times New Roman"/>
          <w:b/>
          <w:bCs/>
          <w:i/>
          <w:iCs/>
        </w:rPr>
        <w:t xml:space="preserve">Tabela </w:t>
      </w:r>
      <w:r w:rsidRPr="00E03817">
        <w:rPr>
          <w:rFonts w:cs="Times New Roman"/>
          <w:b/>
          <w:bCs/>
          <w:i/>
          <w:iCs/>
        </w:rPr>
        <w:t>6:</w:t>
      </w:r>
      <w:r w:rsidRPr="00E03817">
        <w:rPr>
          <w:rFonts w:cs="Times New Roman"/>
          <w:bCs/>
          <w:iCs/>
        </w:rPr>
        <w:t xml:space="preserve"> Preço Médio dos itens e a variação percentual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11"/>
        <w:gridCol w:w="1811"/>
        <w:gridCol w:w="1811"/>
      </w:tblGrid>
      <w:tr w:rsidR="00E03817" w14:paraId="550F39DA" w14:textId="77777777" w:rsidTr="00E03817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47D22A6" w14:textId="77777777" w:rsidR="00E03817" w:rsidRPr="00942C04" w:rsidRDefault="00A271FF" w:rsidP="003A49D6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FA7382F" w14:textId="77777777" w:rsidR="00E03817" w:rsidRDefault="00270D85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Outubro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D2342E8" w14:textId="77777777" w:rsidR="00E03817" w:rsidRDefault="00564BF0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Nove</w:t>
            </w:r>
            <w:r w:rsidR="00E03817">
              <w:rPr>
                <w:b/>
                <w:sz w:val="24"/>
              </w:rPr>
              <w:t>mbro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CCAA456" w14:textId="77777777" w:rsidR="00E03817" w:rsidRPr="00942C04" w:rsidRDefault="00E03817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Variação</w:t>
            </w:r>
            <w:r w:rsidR="00F625F7">
              <w:rPr>
                <w:b/>
                <w:sz w:val="24"/>
              </w:rPr>
              <w:t xml:space="preserve"> (%)</w:t>
            </w:r>
          </w:p>
        </w:tc>
      </w:tr>
      <w:tr w:rsidR="00E03817" w14:paraId="21866C74" w14:textId="77777777" w:rsidTr="00E03817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4C64" w14:textId="77777777" w:rsidR="00E03817" w:rsidRPr="00942C04" w:rsidRDefault="00E03817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Carne (Acém) – Kg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E7D42" w14:textId="77777777" w:rsidR="00E03817" w:rsidRPr="00F47F4E" w:rsidRDefault="00B56B57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33,53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81A27" w14:textId="77777777" w:rsidR="00E03817" w:rsidRPr="00F47F4E" w:rsidRDefault="00270D85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36,04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02774" w14:textId="77777777" w:rsidR="00E03817" w:rsidRPr="00F47F4E" w:rsidRDefault="00873398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7,48</w:t>
            </w:r>
          </w:p>
        </w:tc>
      </w:tr>
      <w:tr w:rsidR="00E03817" w14:paraId="792CB38B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FB536A" w14:textId="77777777" w:rsidR="00E03817" w:rsidRPr="00942C04" w:rsidRDefault="00E03817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Leite – Caixa 1L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0BBE8F8" w14:textId="77777777" w:rsidR="00E03817" w:rsidRPr="00F47F4E" w:rsidRDefault="00B56B57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3E5354F" w14:textId="77777777" w:rsidR="00E03817" w:rsidRPr="00F47F4E" w:rsidRDefault="00270D85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6,45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B3AC88D" w14:textId="77777777" w:rsidR="00E03817" w:rsidRPr="00F47F4E" w:rsidRDefault="00766149" w:rsidP="00766149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-0,78</w:t>
            </w:r>
            <w:r w:rsidR="00E03817" w:rsidRPr="00F47F4E">
              <w:rPr>
                <w:rFonts w:cs="Calibri"/>
                <w:b/>
                <w:bCs/>
              </w:rPr>
              <w:t xml:space="preserve"> </w:t>
            </w:r>
          </w:p>
        </w:tc>
      </w:tr>
      <w:tr w:rsidR="00E03817" w14:paraId="76C8CAA3" w14:textId="77777777" w:rsidTr="00E03817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F0D208" w14:textId="77777777" w:rsidR="00E03817" w:rsidRDefault="00E03817" w:rsidP="003A49D6">
            <w:pPr>
              <w:spacing w:line="276" w:lineRule="auto"/>
              <w:jc w:val="both"/>
            </w:pPr>
            <w:r>
              <w:t>Feijão Carioca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BB66489" w14:textId="77777777" w:rsidR="00E03817" w:rsidRPr="00F47F4E" w:rsidRDefault="00B56B57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F3B9744" w14:textId="77777777" w:rsidR="00E03817" w:rsidRPr="00F47F4E" w:rsidRDefault="00270D85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C26C7B8" w14:textId="77777777" w:rsidR="00E03817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-1,27</w:t>
            </w:r>
          </w:p>
        </w:tc>
      </w:tr>
      <w:tr w:rsidR="00873398" w14:paraId="1460F58D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12C588" w14:textId="77777777" w:rsidR="00873398" w:rsidRDefault="00873398" w:rsidP="003A49D6">
            <w:pPr>
              <w:spacing w:line="276" w:lineRule="auto"/>
              <w:jc w:val="both"/>
            </w:pPr>
            <w:r>
              <w:t>Arroz Branco – 5Kg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B309EB1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33,51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44AD30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33,61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CB4EFD2" w14:textId="77777777" w:rsidR="00873398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0,31</w:t>
            </w:r>
          </w:p>
        </w:tc>
      </w:tr>
      <w:tr w:rsidR="00873398" w14:paraId="1A559AF8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B8E6C8" w14:textId="77777777" w:rsidR="00873398" w:rsidRDefault="00873398" w:rsidP="003A49D6">
            <w:pPr>
              <w:spacing w:line="276" w:lineRule="auto"/>
              <w:jc w:val="both"/>
            </w:pPr>
            <w:r>
              <w:t>Farinha de Mandioca – 500g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E7A6836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8FCCC7E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6,09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53DAE54" w14:textId="77777777" w:rsidR="00873398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-3,26</w:t>
            </w:r>
          </w:p>
        </w:tc>
      </w:tr>
      <w:tr w:rsidR="00873398" w14:paraId="54F41179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26D663" w14:textId="77777777" w:rsidR="00873398" w:rsidRDefault="00873398" w:rsidP="003A49D6">
            <w:pPr>
              <w:spacing w:line="276" w:lineRule="auto"/>
              <w:jc w:val="both"/>
            </w:pPr>
            <w:r>
              <w:t>Batata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9FB79F2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7,33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F81F48F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78FDBE8" w14:textId="77777777" w:rsidR="00873398" w:rsidRPr="00F47F4E" w:rsidRDefault="00984F03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9,14</w:t>
            </w:r>
          </w:p>
        </w:tc>
      </w:tr>
      <w:tr w:rsidR="00873398" w14:paraId="03380E3B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4F1FA8" w14:textId="77777777" w:rsidR="00873398" w:rsidRDefault="00873398" w:rsidP="003A49D6">
            <w:pPr>
              <w:spacing w:line="276" w:lineRule="auto"/>
              <w:jc w:val="both"/>
            </w:pPr>
            <w:r>
              <w:t>Legumes (tomate)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07E3B90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5BFBA63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75E2ED9" w14:textId="77777777" w:rsidR="00873398" w:rsidRPr="00F47F4E" w:rsidRDefault="00984F03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10,86</w:t>
            </w:r>
          </w:p>
        </w:tc>
      </w:tr>
      <w:tr w:rsidR="00873398" w14:paraId="2C73F639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86A748" w14:textId="77777777" w:rsidR="00873398" w:rsidRDefault="00873398" w:rsidP="003A49D6">
            <w:pPr>
              <w:spacing w:line="276" w:lineRule="auto"/>
              <w:jc w:val="both"/>
            </w:pPr>
            <w:r>
              <w:t>Pão francês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0CC3155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17,66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48D2887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17,93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65881B0" w14:textId="77777777" w:rsidR="00873398" w:rsidRPr="00F47F4E" w:rsidRDefault="006C1F6E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1,54</w:t>
            </w:r>
          </w:p>
        </w:tc>
      </w:tr>
      <w:tr w:rsidR="00873398" w14:paraId="0BAA3F3A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B9AA27" w14:textId="77777777" w:rsidR="00873398" w:rsidRDefault="00873398" w:rsidP="003A49D6">
            <w:pPr>
              <w:spacing w:line="276" w:lineRule="auto"/>
              <w:jc w:val="both"/>
            </w:pPr>
            <w:r>
              <w:t>Café em pó – 500g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8C1A0A1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21,30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73C0580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22,13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4ABBE24" w14:textId="77777777" w:rsidR="00873398" w:rsidRPr="00F47F4E" w:rsidRDefault="006C1F6E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3,91</w:t>
            </w:r>
          </w:p>
        </w:tc>
      </w:tr>
      <w:tr w:rsidR="00873398" w14:paraId="38F879C0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4846E0" w14:textId="77777777" w:rsidR="00873398" w:rsidRDefault="00873398" w:rsidP="003A49D6">
            <w:pPr>
              <w:spacing w:line="276" w:lineRule="auto"/>
              <w:jc w:val="both"/>
            </w:pPr>
            <w:r>
              <w:t>Fruta (banana nanica)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8D3B8B1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7,40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D615CC7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312F82" w14:textId="77777777" w:rsidR="00873398" w:rsidRPr="00F47F4E" w:rsidRDefault="006C1F6E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2,58</w:t>
            </w:r>
          </w:p>
        </w:tc>
      </w:tr>
      <w:tr w:rsidR="00873398" w14:paraId="529476AA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638754" w14:textId="77777777" w:rsidR="00873398" w:rsidRDefault="00873398" w:rsidP="003A49D6">
            <w:pPr>
              <w:spacing w:line="276" w:lineRule="auto"/>
              <w:jc w:val="both"/>
            </w:pPr>
            <w:r>
              <w:t xml:space="preserve">Açúcar refinado – 1Kg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84B6D6C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4,51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0B17BCA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4,67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E6A6A9" w14:textId="77777777" w:rsidR="00873398" w:rsidRPr="00F47F4E" w:rsidRDefault="006C1F6E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3,62</w:t>
            </w:r>
          </w:p>
        </w:tc>
      </w:tr>
      <w:tr w:rsidR="00873398" w14:paraId="19BC2A43" w14:textId="77777777" w:rsidTr="007C3F8C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99265C" w14:textId="77777777" w:rsidR="00873398" w:rsidRDefault="00873398" w:rsidP="003A49D6">
            <w:pPr>
              <w:spacing w:line="276" w:lineRule="auto"/>
              <w:jc w:val="both"/>
            </w:pPr>
            <w:r>
              <w:t>Óleo de soja – 900 ml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2615FA8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7,01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C9F6768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A4EBD2C" w14:textId="77777777" w:rsidR="00873398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9,91</w:t>
            </w:r>
          </w:p>
        </w:tc>
      </w:tr>
      <w:tr w:rsidR="00873398" w14:paraId="64E79525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E07AE" w14:textId="77777777" w:rsidR="00873398" w:rsidRDefault="00873398" w:rsidP="003A49D6">
            <w:pPr>
              <w:spacing w:line="276" w:lineRule="auto"/>
              <w:jc w:val="both"/>
            </w:pPr>
            <w:r>
              <w:t>Margarina – 500g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99905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237D" w14:textId="77777777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E67F9" w14:textId="77777777" w:rsidR="00873398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-1,39</w:t>
            </w:r>
          </w:p>
        </w:tc>
      </w:tr>
    </w:tbl>
    <w:p w14:paraId="2351968B" w14:textId="77777777" w:rsidR="00195F7C" w:rsidRDefault="00195F7C">
      <w:pPr>
        <w:rPr>
          <w:rFonts w:cs="Times New Roman"/>
          <w:b/>
          <w:bCs/>
          <w:i/>
          <w:iCs/>
        </w:rPr>
      </w:pPr>
    </w:p>
    <w:p w14:paraId="0C090DC5" w14:textId="77777777" w:rsidR="00891968" w:rsidRDefault="00891968" w:rsidP="00F625F7">
      <w:pPr>
        <w:spacing w:line="276" w:lineRule="auto"/>
        <w:jc w:val="center"/>
        <w:rPr>
          <w:rFonts w:cs="Times New Roman"/>
          <w:b/>
          <w:bCs/>
          <w:i/>
          <w:iCs/>
        </w:rPr>
      </w:pPr>
    </w:p>
    <w:p w14:paraId="5261E5AE" w14:textId="77777777" w:rsidR="00F625F7" w:rsidRDefault="00F625F7" w:rsidP="00F625F7">
      <w:pPr>
        <w:spacing w:line="276" w:lineRule="auto"/>
        <w:jc w:val="center"/>
        <w:rPr>
          <w:rFonts w:cs="Times New Roman"/>
          <w:bCs/>
          <w:iCs/>
        </w:rPr>
      </w:pPr>
      <w:r w:rsidRPr="00F625F7">
        <w:rPr>
          <w:rFonts w:cs="Times New Roman"/>
          <w:b/>
          <w:bCs/>
          <w:i/>
          <w:iCs/>
        </w:rPr>
        <w:t>Gráfico 4:</w:t>
      </w:r>
      <w:r>
        <w:rPr>
          <w:rFonts w:cs="Times New Roman"/>
          <w:bCs/>
          <w:iCs/>
        </w:rPr>
        <w:t xml:space="preserve"> </w:t>
      </w:r>
      <w:r w:rsidRPr="00F625F7">
        <w:rPr>
          <w:rFonts w:cs="Times New Roman"/>
          <w:bCs/>
          <w:iCs/>
        </w:rPr>
        <w:t>Valores percentuais comparativos entre itens da cesta básica alimentar</w:t>
      </w:r>
    </w:p>
    <w:p w14:paraId="10B51703" w14:textId="77777777" w:rsidR="0076368C" w:rsidRDefault="0034190C" w:rsidP="00480DB4">
      <w:pPr>
        <w:spacing w:line="276" w:lineRule="auto"/>
        <w:ind w:right="-569" w:hanging="993"/>
        <w:rPr>
          <w:rFonts w:cs="Times New Roman"/>
          <w:b/>
          <w:bCs/>
          <w:i/>
          <w:iCs/>
        </w:rPr>
      </w:pPr>
      <w:r>
        <w:rPr>
          <w:noProof/>
          <w:lang w:eastAsia="pt-BR"/>
        </w:rPr>
        <w:drawing>
          <wp:inline distT="0" distB="0" distL="0" distR="0" wp14:anchorId="61537D1A" wp14:editId="2177F887">
            <wp:extent cx="6896100" cy="408178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1" w:name="_GoBack"/>
      <w:bookmarkEnd w:id="1"/>
    </w:p>
    <w:p w14:paraId="0E40768E" w14:textId="77777777" w:rsidR="00195F7C" w:rsidRDefault="00195F7C" w:rsidP="0034190C">
      <w:pPr>
        <w:spacing w:line="276" w:lineRule="auto"/>
        <w:ind w:right="-569" w:hanging="567"/>
        <w:rPr>
          <w:rFonts w:cs="Times New Roman"/>
          <w:b/>
          <w:bCs/>
          <w:i/>
          <w:iCs/>
        </w:rPr>
      </w:pPr>
    </w:p>
    <w:p w14:paraId="5A10DC5B" w14:textId="77777777" w:rsidR="00F625F7" w:rsidRPr="00F625F7" w:rsidRDefault="00F625F7" w:rsidP="00F625F7">
      <w:pPr>
        <w:spacing w:line="276" w:lineRule="auto"/>
        <w:jc w:val="center"/>
        <w:rPr>
          <w:rFonts w:cs="Times New Roman"/>
          <w:bCs/>
          <w:iCs/>
        </w:rPr>
      </w:pPr>
      <w:r w:rsidRPr="00F625F7">
        <w:rPr>
          <w:rFonts w:cs="Times New Roman"/>
          <w:b/>
          <w:bCs/>
          <w:i/>
          <w:iCs/>
        </w:rPr>
        <w:t>Tabela 7:</w:t>
      </w:r>
      <w:r>
        <w:t xml:space="preserve"> </w:t>
      </w:r>
      <w:r>
        <w:rPr>
          <w:rFonts w:cs="Times New Roman"/>
          <w:bCs/>
          <w:iCs/>
        </w:rPr>
        <w:t>C</w:t>
      </w:r>
      <w:r w:rsidRPr="00F625F7">
        <w:rPr>
          <w:rFonts w:cs="Times New Roman"/>
          <w:bCs/>
          <w:iCs/>
        </w:rPr>
        <w:t>ontribuição por produtos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268"/>
      </w:tblGrid>
      <w:tr w:rsidR="00F625F7" w14:paraId="7B63C1D5" w14:textId="77777777" w:rsidTr="00F625F7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E286CB" w14:textId="77777777" w:rsidR="00F625F7" w:rsidRPr="00942C04" w:rsidRDefault="00A271FF" w:rsidP="00463FE8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459FDA0" w14:textId="77777777" w:rsidR="00F625F7" w:rsidRPr="00942C04" w:rsidRDefault="00F625F7" w:rsidP="00463FE8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Contribuição (%)</w:t>
            </w:r>
          </w:p>
        </w:tc>
      </w:tr>
      <w:tr w:rsidR="00F625F7" w14:paraId="54B92179" w14:textId="77777777" w:rsidTr="00F625F7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FF8FF" w14:textId="77777777" w:rsidR="00F625F7" w:rsidRPr="00942C04" w:rsidRDefault="00F625F7" w:rsidP="00463FE8">
            <w:pPr>
              <w:rPr>
                <w:rFonts w:cs="Times New Roman"/>
              </w:rPr>
            </w:pPr>
            <w:r>
              <w:rPr>
                <w:rFonts w:cs="Times New Roman"/>
              </w:rPr>
              <w:t>Carne (Acém) –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028C7" w14:textId="77777777" w:rsidR="00F625F7" w:rsidRPr="005B5258" w:rsidRDefault="00195F7C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30,00</w:t>
            </w:r>
          </w:p>
        </w:tc>
      </w:tr>
      <w:tr w:rsidR="00F625F7" w14:paraId="0951CDC7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460E39" w14:textId="77777777" w:rsidR="00F625F7" w:rsidRPr="00942C04" w:rsidRDefault="00F625F7" w:rsidP="00463FE8">
            <w:pPr>
              <w:rPr>
                <w:rFonts w:cs="Times New Roman"/>
              </w:rPr>
            </w:pPr>
            <w:r>
              <w:rPr>
                <w:rFonts w:cs="Times New Roman"/>
              </w:rPr>
              <w:t>Leite – Caixa 1L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C96CB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6,71</w:t>
            </w:r>
            <w:r w:rsidR="00F625F7" w:rsidRPr="005B5258">
              <w:rPr>
                <w:rFonts w:cs="Calibri"/>
                <w:b/>
                <w:bCs/>
              </w:rPr>
              <w:t xml:space="preserve"> </w:t>
            </w:r>
          </w:p>
        </w:tc>
      </w:tr>
      <w:tr w:rsidR="00F625F7" w14:paraId="62BFD91B" w14:textId="77777777" w:rsidTr="00F625F7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501194" w14:textId="77777777" w:rsidR="00F625F7" w:rsidRDefault="00F625F7" w:rsidP="00463FE8">
            <w:pPr>
              <w:spacing w:line="276" w:lineRule="auto"/>
              <w:jc w:val="both"/>
            </w:pPr>
            <w:r>
              <w:t>Feijão Carioca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F1CC6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4,49</w:t>
            </w:r>
          </w:p>
        </w:tc>
      </w:tr>
      <w:tr w:rsidR="00F625F7" w14:paraId="0BAD170E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F8C057" w14:textId="77777777" w:rsidR="00F625F7" w:rsidRDefault="00F625F7" w:rsidP="00463FE8">
            <w:pPr>
              <w:spacing w:line="276" w:lineRule="auto"/>
              <w:jc w:val="both"/>
            </w:pPr>
            <w:r>
              <w:t>Arroz Branco – 5Kg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BA27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2,80</w:t>
            </w:r>
          </w:p>
        </w:tc>
      </w:tr>
      <w:tr w:rsidR="00F625F7" w14:paraId="587B25F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5A1FFF" w14:textId="77777777" w:rsidR="00F625F7" w:rsidRDefault="00F625F7" w:rsidP="00463FE8">
            <w:pPr>
              <w:spacing w:line="276" w:lineRule="auto"/>
              <w:jc w:val="both"/>
            </w:pPr>
            <w:r>
              <w:t>Farinha de Mandioca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A3E0C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1,27</w:t>
            </w:r>
          </w:p>
        </w:tc>
      </w:tr>
      <w:tr w:rsidR="00F625F7" w14:paraId="0B67EFC5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6CDCF0" w14:textId="77777777" w:rsidR="00F625F7" w:rsidRDefault="00F625F7" w:rsidP="00463FE8">
            <w:pPr>
              <w:spacing w:line="276" w:lineRule="auto"/>
              <w:jc w:val="both"/>
            </w:pPr>
            <w:r>
              <w:t>Batata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492FD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7,02</w:t>
            </w:r>
          </w:p>
        </w:tc>
      </w:tr>
      <w:tr w:rsidR="00F625F7" w14:paraId="04CEE64D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6615C9" w14:textId="77777777" w:rsidR="00F625F7" w:rsidRDefault="00F625F7" w:rsidP="00463FE8">
            <w:pPr>
              <w:spacing w:line="276" w:lineRule="auto"/>
              <w:jc w:val="both"/>
            </w:pPr>
            <w:r>
              <w:t>Legumes (tomate)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E82DB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10,11</w:t>
            </w:r>
          </w:p>
        </w:tc>
      </w:tr>
      <w:tr w:rsidR="00F625F7" w14:paraId="14152907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65CA2E" w14:textId="77777777" w:rsidR="00F625F7" w:rsidRDefault="00F625F7" w:rsidP="00463FE8">
            <w:pPr>
              <w:spacing w:line="276" w:lineRule="auto"/>
              <w:jc w:val="both"/>
            </w:pPr>
            <w:r>
              <w:t>Pão francês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EEA6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14,93</w:t>
            </w:r>
          </w:p>
        </w:tc>
      </w:tr>
      <w:tr w:rsidR="00F625F7" w14:paraId="7961510F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D3B967" w14:textId="77777777" w:rsidR="00F625F7" w:rsidRDefault="00F625F7" w:rsidP="00463FE8">
            <w:pPr>
              <w:spacing w:line="276" w:lineRule="auto"/>
              <w:jc w:val="both"/>
            </w:pPr>
            <w:r>
              <w:t>Café em pó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C5F4F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3,68</w:t>
            </w:r>
          </w:p>
        </w:tc>
      </w:tr>
      <w:tr w:rsidR="00F625F7" w14:paraId="19D1C6F3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6F93ED" w14:textId="77777777" w:rsidR="00F625F7" w:rsidRDefault="00F625F7" w:rsidP="00463FE8">
            <w:pPr>
              <w:spacing w:line="276" w:lineRule="auto"/>
              <w:jc w:val="both"/>
            </w:pPr>
            <w:r>
              <w:t>Fruta (banana nanica)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ABF18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13,58</w:t>
            </w:r>
          </w:p>
        </w:tc>
      </w:tr>
      <w:tr w:rsidR="00F625F7" w14:paraId="7BDA07D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A19D8" w14:textId="77777777" w:rsidR="00F625F7" w:rsidRDefault="00F625F7" w:rsidP="00463FE8">
            <w:pPr>
              <w:spacing w:line="276" w:lineRule="auto"/>
              <w:jc w:val="both"/>
            </w:pPr>
            <w:r>
              <w:t xml:space="preserve">Açúcar refinado – 1Kg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E2479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1,95</w:t>
            </w:r>
          </w:p>
        </w:tc>
      </w:tr>
      <w:tr w:rsidR="00F625F7" w14:paraId="5551B52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6C247D" w14:textId="77777777" w:rsidR="00F625F7" w:rsidRDefault="00F625F7" w:rsidP="00463FE8">
            <w:pPr>
              <w:spacing w:line="276" w:lineRule="auto"/>
              <w:jc w:val="both"/>
            </w:pPr>
            <w:r>
              <w:t>Óleo de soja – 900 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0B7A3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1,82</w:t>
            </w:r>
          </w:p>
        </w:tc>
      </w:tr>
      <w:tr w:rsidR="00F625F7" w14:paraId="42A512FF" w14:textId="77777777" w:rsidTr="005B5258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9FFB01" w14:textId="77777777" w:rsidR="00F625F7" w:rsidRDefault="00F625F7" w:rsidP="00463FE8">
            <w:pPr>
              <w:spacing w:line="276" w:lineRule="auto"/>
              <w:jc w:val="both"/>
            </w:pPr>
            <w:r>
              <w:t>Margarina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D1AAD" w14:textId="77777777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1,65</w:t>
            </w:r>
          </w:p>
        </w:tc>
      </w:tr>
      <w:tr w:rsidR="005B5258" w:rsidRPr="00942C04" w14:paraId="35CF410C" w14:textId="77777777" w:rsidTr="005B5258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6AAA9" w14:textId="77777777" w:rsidR="005B5258" w:rsidRPr="00942C04" w:rsidRDefault="005B5258" w:rsidP="00463FE8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DF00F" w14:textId="77777777" w:rsidR="005B5258" w:rsidRPr="00942C04" w:rsidRDefault="005B5258" w:rsidP="005B5258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6AFF3BC7" w14:textId="77777777" w:rsidR="005B5258" w:rsidRDefault="00195F7C" w:rsidP="00007FB8">
      <w:pPr>
        <w:rPr>
          <w:b/>
          <w:sz w:val="24"/>
        </w:rPr>
      </w:pPr>
      <w:r>
        <w:rPr>
          <w:b/>
          <w:sz w:val="24"/>
        </w:rPr>
        <w:br w:type="page"/>
      </w:r>
      <w:r w:rsidR="005B5258" w:rsidRPr="007E50ED">
        <w:rPr>
          <w:b/>
          <w:sz w:val="24"/>
        </w:rPr>
        <w:lastRenderedPageBreak/>
        <w:t>Considerações</w:t>
      </w:r>
    </w:p>
    <w:p w14:paraId="5CA53A00" w14:textId="77777777" w:rsidR="007E50ED" w:rsidRPr="007E50ED" w:rsidRDefault="007E50ED" w:rsidP="007E50ED">
      <w:pPr>
        <w:spacing w:afterLines="60" w:after="144" w:line="240" w:lineRule="auto"/>
        <w:rPr>
          <w:sz w:val="24"/>
        </w:rPr>
      </w:pPr>
    </w:p>
    <w:p w14:paraId="49AF03D1" w14:textId="77777777" w:rsidR="005B5258" w:rsidRDefault="007614FB" w:rsidP="005B5258">
      <w:pPr>
        <w:rPr>
          <w:b/>
          <w:sz w:val="24"/>
        </w:rPr>
      </w:pPr>
      <w:r w:rsidRPr="007614FB">
        <w:rPr>
          <w:b/>
          <w:sz w:val="24"/>
        </w:rPr>
        <w:t>Cesta Básica Alimentar, Variação Cambial e</w:t>
      </w:r>
      <w:r>
        <w:rPr>
          <w:b/>
          <w:sz w:val="24"/>
        </w:rPr>
        <w:t xml:space="preserve"> </w:t>
      </w:r>
      <w:r w:rsidRPr="007614FB">
        <w:rPr>
          <w:b/>
          <w:sz w:val="24"/>
        </w:rPr>
        <w:t>Desoneração</w:t>
      </w:r>
    </w:p>
    <w:p w14:paraId="5A323F64" w14:textId="77777777" w:rsidR="007E50ED" w:rsidRPr="007E50ED" w:rsidRDefault="007E50ED" w:rsidP="005B5258">
      <w:pPr>
        <w:rPr>
          <w:b/>
          <w:sz w:val="24"/>
        </w:rPr>
      </w:pPr>
    </w:p>
    <w:p w14:paraId="54B6D0B2" w14:textId="77777777" w:rsidR="00007FB8" w:rsidRP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>A cesta básica é um conjunto de itens essenciais que influencia diretamente o custo de vida da população. O comportamento dos preços desses produtos é afetado por uma série de fatores, incluindo a variação cambial, especialmente no caso dos itens importados. Nos últimos anos, as flutuações da taxa de câmbio no Brasil impactaram diretamente o poder de compra dos consumidores, refletindo-se no preço de produtos essenciais.</w:t>
      </w:r>
    </w:p>
    <w:p w14:paraId="04710FB0" w14:textId="77777777" w:rsidR="00007FB8" w:rsidRP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 xml:space="preserve">A composição da cesta básica é diversificada, e cada item pode ser impactado de maneira </w:t>
      </w:r>
      <w:r w:rsidR="009F48FD">
        <w:rPr>
          <w:sz w:val="24"/>
        </w:rPr>
        <w:t xml:space="preserve">distinta pela flutuação cambial. </w:t>
      </w:r>
      <w:r w:rsidRPr="00007FB8">
        <w:rPr>
          <w:sz w:val="24"/>
        </w:rPr>
        <w:t>O impacto da variação cambial sobre os preços da cesta básica revela uma complexa interdependência entre o mercado internacional e o consumo doméstico, afetando diretamente o poder de compra das famílias brasileiras</w:t>
      </w:r>
      <w:r w:rsidR="009F48FD">
        <w:rPr>
          <w:sz w:val="24"/>
        </w:rPr>
        <w:t>.</w:t>
      </w:r>
    </w:p>
    <w:p w14:paraId="0073904F" w14:textId="77777777" w:rsidR="00007FB8" w:rsidRP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>A carne, que compõe a maior parcela da cesta, sofre impactos diretos do câmbio devido à alta demanda internacional. Com o dólar valorizado, as exportações se tornam mais lucrativas, e os produtores priorizam o mercado externo. Como consequência, a oferta interna diminui, o que pressiona os preços para cima. Além disso, o custo da ração, em grande parte importada, aumenta com o dólar alto, eleva</w:t>
      </w:r>
      <w:r w:rsidR="00D81A9A">
        <w:rPr>
          <w:sz w:val="24"/>
        </w:rPr>
        <w:t xml:space="preserve">ndo ainda mais o preço da carne </w:t>
      </w:r>
      <w:r w:rsidRPr="00007FB8">
        <w:rPr>
          <w:sz w:val="24"/>
        </w:rPr>
        <w:t>no mercado doméstico. Como alternativa a uma redução no consumo de carne vermelha, opta-se por proteínas alternativas como ovos, que possuem menor dependência cambial. Carnes de frango e suína também podem ser alternativas, pois são menos expostas a exportações.</w:t>
      </w:r>
    </w:p>
    <w:p w14:paraId="6C73D11B" w14:textId="77777777" w:rsidR="00007FB8" w:rsidRP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>A nossa pesquisa identifica um aumento expressivo no tomate (10,96%), na batata (9,18%) e na banana (2,57%). Em Santos a ida as feiras livres se transformam em uma estratégia para adquirir produtos mais baratos buscando sempre os produtos da estação que costumam ser além de mais acessíveis mais frescos.</w:t>
      </w:r>
    </w:p>
    <w:p w14:paraId="3229F1AC" w14:textId="77777777" w:rsidR="00007FB8" w:rsidRP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>Para driblar o aumento de produtos como o café; o açúcar refinado e o óleo de soja podem- se explorar opções de produtos de marcas locais ou regionais que frequentemente são mais baratos do que as marcas mais conhecidas</w:t>
      </w:r>
    </w:p>
    <w:p w14:paraId="0E29120E" w14:textId="77777777" w:rsidR="00007FB8" w:rsidRDefault="00007FB8" w:rsidP="00D81A9A">
      <w:pPr>
        <w:jc w:val="both"/>
        <w:rPr>
          <w:sz w:val="24"/>
        </w:rPr>
      </w:pPr>
      <w:r w:rsidRPr="00007FB8">
        <w:rPr>
          <w:sz w:val="24"/>
        </w:rPr>
        <w:t>Relatório publicado pela Organização das Nações Unidas (ONU) em 2023 mostra que o Brasil tem 21 milhões de pessoas que não têm o que comer todos os dias e 70,3 milhões em insegurança alimentar. Os dados mostram que os mais pobres gastam quase 30% de sua renda com alimentação, enquanto os mais ricos destinam um percentual menor, próximo a 10%. Uma discussão sobre desoneração de itens da cesta básica tramita em nosso congresso. A pressão que o aumento de produtos e</w:t>
      </w:r>
      <w:r w:rsidR="00D81A9A">
        <w:rPr>
          <w:sz w:val="24"/>
        </w:rPr>
        <w:t xml:space="preserve">xtremamente básicos faz sobre a </w:t>
      </w:r>
      <w:r w:rsidRPr="00007FB8">
        <w:rPr>
          <w:sz w:val="24"/>
        </w:rPr>
        <w:t>qualidade de saúde da população mais vulnerável pedem medidas urgentes e programas a médio e longo prazo pois, é inconcebível que um país com as condições climáticas e áreas plantáveis como o nosso tenha milhões de pessoas sem a condição alimentar adequada.</w:t>
      </w:r>
    </w:p>
    <w:p w14:paraId="58A649E6" w14:textId="77777777" w:rsidR="009F48FD" w:rsidRDefault="009F48FD">
      <w:pPr>
        <w:rPr>
          <w:sz w:val="24"/>
        </w:rPr>
      </w:pPr>
      <w:r>
        <w:rPr>
          <w:sz w:val="24"/>
        </w:rPr>
        <w:br w:type="page"/>
      </w:r>
    </w:p>
    <w:p w14:paraId="7E6DD9D6" w14:textId="77777777" w:rsidR="00A271FF" w:rsidRPr="00A271FF" w:rsidRDefault="00A271FF" w:rsidP="00A271FF">
      <w:pPr>
        <w:rPr>
          <w:b/>
          <w:sz w:val="24"/>
        </w:rPr>
      </w:pPr>
      <w:r w:rsidRPr="00A271FF">
        <w:rPr>
          <w:b/>
          <w:sz w:val="24"/>
        </w:rPr>
        <w:lastRenderedPageBreak/>
        <w:t>Metodologia</w:t>
      </w:r>
    </w:p>
    <w:p w14:paraId="574AEC6A" w14:textId="77777777" w:rsidR="00A271FF" w:rsidRPr="005B5258" w:rsidRDefault="00A271FF" w:rsidP="00A271FF">
      <w:pPr>
        <w:spacing w:line="240" w:lineRule="auto"/>
        <w:rPr>
          <w:sz w:val="24"/>
        </w:rPr>
      </w:pPr>
    </w:p>
    <w:p w14:paraId="705C7A24" w14:textId="77777777" w:rsidR="005B5258" w:rsidRPr="00A271FF" w:rsidRDefault="005B5258" w:rsidP="00A271FF">
      <w:pPr>
        <w:spacing w:line="240" w:lineRule="auto"/>
        <w:rPr>
          <w:sz w:val="20"/>
          <w:szCs w:val="20"/>
        </w:rPr>
      </w:pPr>
      <w:r w:rsidRPr="00A271FF">
        <w:rPr>
          <w:sz w:val="20"/>
          <w:szCs w:val="20"/>
        </w:rPr>
        <w:t>Neste boletim são apresentados os valores de uma cesta básica de alimentos, resultado de pesquisa realizada em supermercados e hipermercados do município de Santos, selecionados por meio de sua localização e representatividade na região instalada, utilizando por referência os produtos que compõem as provisões mínimas de uma cesta básica alimentícia conforme o Decreto-Lei nº 399/1938, que regulamentou a execução da Lei 185/1936, que por sua vez institui as comissões de salário-mínimo nacional, estabelece a fórmula para o cômputo do salário mínimo, previsto no artigo 6º do referido Decreto-Lei, através da fórmula: SM (Salário Mínimo) = a + b + c + d + e, onde “a”, “b”, “c”, “d” e “e”, representam respectivamente o valor das despesas com alimentação, habitação, vestuário, higiene e transporte. A parcela referente à alimentação está baseada em um valor mínimo de provisões necessárias à alimentação de um trabalhador adulto, em conformidade aos anexos apresentados no mesmo dispositivo legal, onde os produtos poderão variar de acordo com a região do trabalhador, porém todas com o mesmo critério e objetivo de manutenção mínima referente à aliment</w:t>
      </w:r>
      <w:r w:rsidR="00A271FF">
        <w:rPr>
          <w:sz w:val="20"/>
          <w:szCs w:val="20"/>
        </w:rPr>
        <w:t xml:space="preserve">ação de um trabalhador adulto. </w:t>
      </w:r>
    </w:p>
    <w:p w14:paraId="26C6BCE7" w14:textId="77777777" w:rsidR="004617F9" w:rsidRDefault="005B5258" w:rsidP="00A271FF">
      <w:pPr>
        <w:spacing w:line="240" w:lineRule="auto"/>
        <w:rPr>
          <w:sz w:val="20"/>
          <w:szCs w:val="20"/>
        </w:rPr>
      </w:pPr>
      <w:r w:rsidRPr="00A271FF">
        <w:rPr>
          <w:sz w:val="20"/>
          <w:szCs w:val="20"/>
        </w:rPr>
        <w:t>Para a região sudeste, os alimentos e suas respectivas quantidades com provisões legais estão demonstrados na Tabela referência.</w:t>
      </w:r>
    </w:p>
    <w:p w14:paraId="3149AD48" w14:textId="77777777" w:rsidR="001B1FB3" w:rsidRDefault="001B1FB3" w:rsidP="00A271F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11"/>
        <w:gridCol w:w="1811"/>
      </w:tblGrid>
      <w:tr w:rsidR="004617F9" w:rsidRPr="00A271FF" w14:paraId="5016AB40" w14:textId="77777777" w:rsidTr="00A271FF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28961F2" w14:textId="77777777" w:rsidR="004617F9" w:rsidRPr="00A271FF" w:rsidRDefault="004617F9" w:rsidP="00463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B7F62FF" w14:textId="77777777" w:rsidR="004617F9" w:rsidRPr="00A271FF" w:rsidRDefault="004617F9" w:rsidP="00461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105A1A3" w14:textId="77777777" w:rsidR="004617F9" w:rsidRPr="00A271FF" w:rsidRDefault="004617F9" w:rsidP="00461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</w:tr>
      <w:tr w:rsidR="004617F9" w:rsidRPr="00A271FF" w14:paraId="5AAAD269" w14:textId="77777777" w:rsidTr="00A271FF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4A992" w14:textId="77777777" w:rsidR="004617F9" w:rsidRPr="00A271FF" w:rsidRDefault="004617F9" w:rsidP="00463F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Carne (Acém)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F384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018F9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9314884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56EAB2" w14:textId="77777777" w:rsidR="004617F9" w:rsidRPr="00A271FF" w:rsidRDefault="004617F9" w:rsidP="00463F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Leite – Caixa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F76A5BA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5C09C1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</w:p>
        </w:tc>
      </w:tr>
      <w:tr w:rsidR="004617F9" w:rsidRPr="00A271FF" w14:paraId="4786830C" w14:textId="77777777" w:rsidTr="00A271FF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7DD45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(Carioca)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2B0A0DF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D1847C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62300320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5E3077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E75F52F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E4BEF82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08A51AAA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F4C59A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Farinha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74DA320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877D7F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g</w:t>
            </w:r>
            <w:proofErr w:type="gramEnd"/>
          </w:p>
        </w:tc>
      </w:tr>
      <w:tr w:rsidR="004617F9" w:rsidRPr="00A271FF" w14:paraId="6224C4C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FCAFDE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8F3B5C2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890B2B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BFD56A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9E36C0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Legumes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A73486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896CB2C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061D5332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F27F04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1FF8C67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3BA1DFD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1A29912F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0D684D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em pó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67223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698ACCA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g</w:t>
            </w:r>
            <w:proofErr w:type="gramEnd"/>
          </w:p>
        </w:tc>
      </w:tr>
      <w:tr w:rsidR="004617F9" w:rsidRPr="00A271FF" w14:paraId="1D2F3BCA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B37CB5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(nanica)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C41447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C4AD08B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Unidades</w:t>
            </w:r>
          </w:p>
        </w:tc>
      </w:tr>
      <w:tr w:rsidR="004617F9" w:rsidRPr="00A271FF" w14:paraId="1A5E325E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157F50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Açúcar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BC1EC1E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98BFC63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EE90388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BEEFCE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Banha/Óleo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A027964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F7DD13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</w:p>
        </w:tc>
      </w:tr>
      <w:tr w:rsidR="004617F9" w:rsidRPr="00A271FF" w14:paraId="2E7798F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96C3F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7FD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EB2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g</w:t>
            </w:r>
            <w:proofErr w:type="gramEnd"/>
          </w:p>
        </w:tc>
      </w:tr>
    </w:tbl>
    <w:p w14:paraId="3D345A94" w14:textId="77777777" w:rsidR="00007FB8" w:rsidRDefault="004617F9" w:rsidP="004617F9">
      <w:pPr>
        <w:tabs>
          <w:tab w:val="left" w:pos="3690"/>
        </w:tabs>
        <w:spacing w:after="200" w:line="360" w:lineRule="auto"/>
        <w:rPr>
          <w:color w:val="000000"/>
        </w:rPr>
      </w:pPr>
      <w:r>
        <w:rPr>
          <w:b/>
          <w:color w:val="000000"/>
        </w:rPr>
        <w:tab/>
      </w:r>
      <w:r w:rsidR="00A271FF" w:rsidRPr="000E13FE">
        <w:rPr>
          <w:b/>
          <w:color w:val="000000"/>
        </w:rPr>
        <w:t>Fonte:</w:t>
      </w:r>
      <w:r w:rsidR="00A271FF" w:rsidRPr="000E13FE">
        <w:rPr>
          <w:color w:val="000000"/>
        </w:rPr>
        <w:t xml:space="preserve"> Decreto-Lei n° 399/38</w:t>
      </w:r>
    </w:p>
    <w:p w14:paraId="1C83BC9B" w14:textId="77777777" w:rsidR="00007FB8" w:rsidRDefault="00007FB8">
      <w:pPr>
        <w:rPr>
          <w:b/>
          <w:sz w:val="24"/>
        </w:rPr>
      </w:pPr>
    </w:p>
    <w:p w14:paraId="04E73BD0" w14:textId="77777777" w:rsidR="001B1FB3" w:rsidRDefault="001B1FB3">
      <w:pPr>
        <w:rPr>
          <w:b/>
          <w:sz w:val="24"/>
        </w:rPr>
      </w:pPr>
      <w:r>
        <w:rPr>
          <w:b/>
          <w:sz w:val="24"/>
        </w:rPr>
        <w:br w:type="page"/>
      </w:r>
    </w:p>
    <w:p w14:paraId="35EE4233" w14:textId="77777777" w:rsidR="004617F9" w:rsidRPr="00007FB8" w:rsidRDefault="004617F9" w:rsidP="00007FB8">
      <w:pPr>
        <w:spacing w:line="240" w:lineRule="auto"/>
        <w:rPr>
          <w:sz w:val="20"/>
          <w:szCs w:val="20"/>
        </w:rPr>
      </w:pPr>
      <w:r w:rsidRPr="004617F9">
        <w:rPr>
          <w:b/>
          <w:sz w:val="24"/>
        </w:rPr>
        <w:lastRenderedPageBreak/>
        <w:t>Professora responsável</w:t>
      </w:r>
    </w:p>
    <w:p w14:paraId="106E7BBE" w14:textId="77777777" w:rsidR="004617F9" w:rsidRDefault="004617F9" w:rsidP="004617F9">
      <w:pPr>
        <w:spacing w:line="0" w:lineRule="atLeast"/>
        <w:rPr>
          <w:sz w:val="24"/>
        </w:rPr>
      </w:pPr>
      <w:r w:rsidRPr="004617F9">
        <w:rPr>
          <w:sz w:val="24"/>
        </w:rPr>
        <w:t xml:space="preserve">Prof.ª </w:t>
      </w:r>
      <w:proofErr w:type="spellStart"/>
      <w:proofErr w:type="gramStart"/>
      <w:r w:rsidRPr="004617F9">
        <w:rPr>
          <w:sz w:val="24"/>
        </w:rPr>
        <w:t>Dr</w:t>
      </w:r>
      <w:proofErr w:type="spellEnd"/>
      <w:r w:rsidRPr="004617F9">
        <w:rPr>
          <w:sz w:val="24"/>
        </w:rPr>
        <w:t>(</w:t>
      </w:r>
      <w:proofErr w:type="gramEnd"/>
      <w:r w:rsidRPr="004617F9">
        <w:rPr>
          <w:sz w:val="24"/>
        </w:rPr>
        <w:t>a). Dalva Mendes Fernandes</w:t>
      </w:r>
    </w:p>
    <w:p w14:paraId="798DD9FF" w14:textId="77777777" w:rsidR="00A146F8" w:rsidRPr="00A146F8" w:rsidRDefault="00A146F8" w:rsidP="00A146F8">
      <w:pPr>
        <w:spacing w:line="0" w:lineRule="atLeast"/>
        <w:rPr>
          <w:b/>
          <w:sz w:val="24"/>
        </w:rPr>
      </w:pPr>
      <w:r w:rsidRPr="00A146F8">
        <w:rPr>
          <w:b/>
          <w:sz w:val="24"/>
        </w:rPr>
        <w:t>Professor convidado</w:t>
      </w:r>
    </w:p>
    <w:p w14:paraId="51F111C2" w14:textId="77777777" w:rsidR="00A146F8" w:rsidRDefault="00A146F8" w:rsidP="004617F9">
      <w:pPr>
        <w:spacing w:line="0" w:lineRule="atLeast"/>
        <w:rPr>
          <w:sz w:val="24"/>
        </w:rPr>
      </w:pPr>
      <w:r w:rsidRPr="00A146F8">
        <w:rPr>
          <w:sz w:val="24"/>
        </w:rPr>
        <w:t>Prof. Dr. Caio Vilella</w:t>
      </w:r>
    </w:p>
    <w:p w14:paraId="28431EB6" w14:textId="77777777" w:rsidR="00A146F8" w:rsidRPr="00A146F8" w:rsidRDefault="00A146F8" w:rsidP="00A146F8">
      <w:pPr>
        <w:spacing w:line="0" w:lineRule="atLeast"/>
        <w:rPr>
          <w:sz w:val="24"/>
        </w:rPr>
      </w:pPr>
      <w:r w:rsidRPr="00A146F8">
        <w:rPr>
          <w:sz w:val="24"/>
        </w:rPr>
        <w:t>Alunos colaboradores: Turma EC 16 de Economia da Católica de Santos</w:t>
      </w:r>
    </w:p>
    <w:p w14:paraId="31FE00CA" w14:textId="77777777" w:rsidR="004617F9" w:rsidRPr="004617F9" w:rsidRDefault="004617F9" w:rsidP="004617F9">
      <w:pPr>
        <w:spacing w:line="0" w:lineRule="atLeast"/>
        <w:rPr>
          <w:bCs/>
          <w:sz w:val="24"/>
        </w:rPr>
      </w:pPr>
      <w:r w:rsidRPr="004617F9">
        <w:rPr>
          <w:b/>
          <w:sz w:val="24"/>
        </w:rPr>
        <w:t xml:space="preserve">Discentes: </w:t>
      </w:r>
      <w:r w:rsidRPr="004617F9">
        <w:rPr>
          <w:bCs/>
          <w:sz w:val="24"/>
        </w:rPr>
        <w:t xml:space="preserve"> </w:t>
      </w:r>
      <w:proofErr w:type="spellStart"/>
      <w:r w:rsidRPr="004617F9">
        <w:rPr>
          <w:bCs/>
          <w:sz w:val="24"/>
        </w:rPr>
        <w:t>Rayanne</w:t>
      </w:r>
      <w:proofErr w:type="spellEnd"/>
      <w:r w:rsidRPr="004617F9">
        <w:rPr>
          <w:bCs/>
          <w:sz w:val="24"/>
        </w:rPr>
        <w:t xml:space="preserve"> Silva Carvalho de Jesus</w:t>
      </w:r>
    </w:p>
    <w:p w14:paraId="78710299" w14:textId="77777777" w:rsidR="004617F9" w:rsidRPr="004617F9" w:rsidRDefault="004617F9" w:rsidP="004617F9">
      <w:pPr>
        <w:spacing w:line="0" w:lineRule="atLeast"/>
        <w:rPr>
          <w:bCs/>
          <w:sz w:val="24"/>
        </w:rPr>
      </w:pPr>
      <w:r w:rsidRPr="004617F9">
        <w:rPr>
          <w:bCs/>
          <w:sz w:val="24"/>
        </w:rPr>
        <w:t xml:space="preserve">                     Rodney de Oliveira Bezerra</w:t>
      </w:r>
    </w:p>
    <w:p w14:paraId="227D90C9" w14:textId="77777777" w:rsidR="004617F9" w:rsidRPr="004617F9" w:rsidRDefault="004617F9" w:rsidP="004617F9">
      <w:pPr>
        <w:spacing w:line="0" w:lineRule="atLeast"/>
        <w:rPr>
          <w:bCs/>
          <w:sz w:val="24"/>
        </w:rPr>
      </w:pPr>
    </w:p>
    <w:p w14:paraId="46282365" w14:textId="77777777" w:rsidR="00A271FF" w:rsidRPr="004617F9" w:rsidRDefault="004617F9" w:rsidP="00A271FF">
      <w:pPr>
        <w:spacing w:line="240" w:lineRule="auto"/>
        <w:rPr>
          <w:szCs w:val="20"/>
        </w:rPr>
      </w:pPr>
      <w:r w:rsidRPr="004617F9">
        <w:rPr>
          <w:noProof/>
          <w:sz w:val="24"/>
          <w:lang w:eastAsia="pt-BR"/>
        </w:rPr>
        <w:drawing>
          <wp:anchor distT="0" distB="0" distL="114300" distR="114300" simplePos="0" relativeHeight="251668480" behindDoc="1" locked="0" layoutInCell="1" allowOverlap="1" wp14:anchorId="40D2A25C" wp14:editId="6BAB798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000" cy="10800"/>
            <wp:effectExtent l="0" t="0" r="0" b="8255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2B243" w14:textId="77777777" w:rsidR="004617F9" w:rsidRPr="004617F9" w:rsidRDefault="004617F9" w:rsidP="004617F9">
      <w:pPr>
        <w:spacing w:line="218" w:lineRule="auto"/>
        <w:rPr>
          <w:sz w:val="24"/>
        </w:rPr>
      </w:pPr>
      <w:r w:rsidRPr="004617F9">
        <w:rPr>
          <w:sz w:val="24"/>
        </w:rPr>
        <w:t>Coordenação do curso de Ciências Econômicas: Prof.ª Me Célia Rodrigues Ribeiro</w:t>
      </w:r>
    </w:p>
    <w:p w14:paraId="6FDD5C46" w14:textId="77777777" w:rsidR="004617F9" w:rsidRPr="004617F9" w:rsidRDefault="004617F9" w:rsidP="004617F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A29E284" w14:textId="77777777" w:rsidR="004617F9" w:rsidRPr="004617F9" w:rsidRDefault="004617F9" w:rsidP="004617F9">
      <w:pPr>
        <w:spacing w:line="0" w:lineRule="atLeast"/>
        <w:rPr>
          <w:sz w:val="24"/>
        </w:rPr>
      </w:pPr>
      <w:r w:rsidRPr="004617F9">
        <w:rPr>
          <w:sz w:val="24"/>
        </w:rPr>
        <w:t>Diretora do Centro de Ciências Sociais Aplicadas e Saúde Prof.</w:t>
      </w:r>
      <w:proofErr w:type="gramStart"/>
      <w:r w:rsidRPr="004617F9">
        <w:rPr>
          <w:sz w:val="24"/>
        </w:rPr>
        <w:t>ª Me</w:t>
      </w:r>
      <w:proofErr w:type="gramEnd"/>
      <w:r w:rsidRPr="004617F9">
        <w:rPr>
          <w:sz w:val="24"/>
        </w:rPr>
        <w:t>. Flávia Henriques.</w:t>
      </w:r>
    </w:p>
    <w:p w14:paraId="53E3A9CF" w14:textId="37565DBF" w:rsidR="004617F9" w:rsidRPr="004617F9" w:rsidRDefault="004617F9" w:rsidP="004617F9">
      <w:pPr>
        <w:spacing w:line="240" w:lineRule="auto"/>
        <w:rPr>
          <w:szCs w:val="20"/>
        </w:rPr>
      </w:pPr>
      <w:r w:rsidRPr="004617F9">
        <w:rPr>
          <w:sz w:val="24"/>
        </w:rPr>
        <w:t xml:space="preserve">Chefe da Sessão de Estudos Econômicas de análise orçamentária da Prefeitura Municipal de Santos: </w:t>
      </w:r>
      <w:r w:rsidR="0087404C">
        <w:rPr>
          <w:sz w:val="24"/>
        </w:rPr>
        <w:t xml:space="preserve">Econ. </w:t>
      </w:r>
      <w:r w:rsidRPr="004617F9">
        <w:rPr>
          <w:sz w:val="24"/>
        </w:rPr>
        <w:t>Vanessa Mendes Miranda</w:t>
      </w:r>
    </w:p>
    <w:sectPr w:rsidR="004617F9" w:rsidRPr="004617F9" w:rsidSect="001E059D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2C10" w14:textId="77777777" w:rsidR="00956F50" w:rsidRDefault="00956F50" w:rsidP="00956F50">
      <w:pPr>
        <w:spacing w:after="0" w:line="240" w:lineRule="auto"/>
      </w:pPr>
      <w:r>
        <w:separator/>
      </w:r>
    </w:p>
  </w:endnote>
  <w:endnote w:type="continuationSeparator" w:id="0">
    <w:p w14:paraId="3DBE119E" w14:textId="77777777" w:rsidR="00956F50" w:rsidRDefault="00956F50" w:rsidP="0095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AEF2" w14:textId="77777777" w:rsidR="00956F50" w:rsidRDefault="00956F50" w:rsidP="00956F50">
      <w:pPr>
        <w:spacing w:after="0" w:line="240" w:lineRule="auto"/>
      </w:pPr>
      <w:r>
        <w:separator/>
      </w:r>
    </w:p>
  </w:footnote>
  <w:footnote w:type="continuationSeparator" w:id="0">
    <w:p w14:paraId="4D3176F2" w14:textId="77777777" w:rsidR="00956F50" w:rsidRDefault="00956F50" w:rsidP="0095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9C1A" w14:textId="77777777" w:rsidR="00956F50" w:rsidRDefault="00956F50" w:rsidP="00FC30A7">
    <w:pPr>
      <w:pStyle w:val="Cabealho"/>
      <w:pBdr>
        <w:bottom w:val="single" w:sz="12" w:space="0" w:color="auto"/>
      </w:pBdr>
      <w:tabs>
        <w:tab w:val="clear" w:pos="4252"/>
        <w:tab w:val="clear" w:pos="8504"/>
        <w:tab w:val="left" w:pos="3000"/>
      </w:tabs>
      <w:rPr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524946" wp14:editId="25D1C8CA">
          <wp:simplePos x="0" y="0"/>
          <wp:positionH relativeFrom="margin">
            <wp:posOffset>-41910</wp:posOffset>
          </wp:positionH>
          <wp:positionV relativeFrom="paragraph">
            <wp:posOffset>-107315</wp:posOffset>
          </wp:positionV>
          <wp:extent cx="1767912" cy="752475"/>
          <wp:effectExtent l="0" t="0" r="3810" b="0"/>
          <wp:wrapNone/>
          <wp:docPr id="2" name="Imagem 2" descr="Divulgado o resultado do Vestibular 2019 da UniSantos (S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ivulgado o resultado do Vestibular 2019 da UniSantos (SP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75" b="10559"/>
                  <a:stretch/>
                </pic:blipFill>
                <pic:spPr bwMode="auto">
                  <a:xfrm>
                    <a:off x="0" y="0"/>
                    <a:ext cx="176791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0A7">
      <w:rPr>
        <w:sz w:val="28"/>
        <w:szCs w:val="28"/>
      </w:rPr>
      <w:tab/>
    </w:r>
  </w:p>
  <w:p w14:paraId="42F87CBE" w14:textId="77777777" w:rsidR="00FC30A7" w:rsidRPr="001E059D" w:rsidRDefault="00FC30A7" w:rsidP="00FC30A7">
    <w:pPr>
      <w:pStyle w:val="Cabealho"/>
      <w:pBdr>
        <w:bottom w:val="single" w:sz="12" w:space="0" w:color="auto"/>
      </w:pBdr>
      <w:tabs>
        <w:tab w:val="clear" w:pos="4252"/>
        <w:tab w:val="clear" w:pos="8504"/>
        <w:tab w:val="left" w:pos="3000"/>
      </w:tabs>
      <w:rPr>
        <w:b/>
        <w:sz w:val="28"/>
        <w:szCs w:val="28"/>
      </w:rPr>
    </w:pPr>
  </w:p>
  <w:p w14:paraId="51D6630F" w14:textId="77777777" w:rsidR="00956F50" w:rsidRPr="001E059D" w:rsidRDefault="001E059D" w:rsidP="001E059D">
    <w:pPr>
      <w:pStyle w:val="Cabealho"/>
      <w:pBdr>
        <w:bottom w:val="single" w:sz="12" w:space="0" w:color="auto"/>
      </w:pBdr>
      <w:jc w:val="right"/>
      <w:rPr>
        <w:b/>
        <w:i/>
        <w:sz w:val="28"/>
        <w:szCs w:val="28"/>
      </w:rPr>
    </w:pPr>
    <w:r w:rsidRPr="001E059D">
      <w:rPr>
        <w:b/>
        <w:sz w:val="28"/>
        <w:szCs w:val="28"/>
      </w:rPr>
      <w:tab/>
    </w:r>
    <w:r w:rsidR="00956F50" w:rsidRPr="001E059D">
      <w:rPr>
        <w:b/>
        <w:i/>
        <w:sz w:val="32"/>
        <w:szCs w:val="28"/>
      </w:rPr>
      <w:t>Cesta Básica da Cidade de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DB"/>
    <w:rsid w:val="00001818"/>
    <w:rsid w:val="00007FB8"/>
    <w:rsid w:val="000318F0"/>
    <w:rsid w:val="00057B52"/>
    <w:rsid w:val="00063003"/>
    <w:rsid w:val="00071099"/>
    <w:rsid w:val="00076FB2"/>
    <w:rsid w:val="000E6967"/>
    <w:rsid w:val="001533DB"/>
    <w:rsid w:val="00195F7C"/>
    <w:rsid w:val="001A37D6"/>
    <w:rsid w:val="001A3F2E"/>
    <w:rsid w:val="001B1FB3"/>
    <w:rsid w:val="001D4569"/>
    <w:rsid w:val="001E059D"/>
    <w:rsid w:val="00203E54"/>
    <w:rsid w:val="00270D85"/>
    <w:rsid w:val="00277F6D"/>
    <w:rsid w:val="00310899"/>
    <w:rsid w:val="00333F56"/>
    <w:rsid w:val="0034190C"/>
    <w:rsid w:val="00403B37"/>
    <w:rsid w:val="004617F9"/>
    <w:rsid w:val="00480DB4"/>
    <w:rsid w:val="00507ABA"/>
    <w:rsid w:val="00557F40"/>
    <w:rsid w:val="00564BF0"/>
    <w:rsid w:val="00597DFB"/>
    <w:rsid w:val="005B5258"/>
    <w:rsid w:val="00647BBA"/>
    <w:rsid w:val="006A1676"/>
    <w:rsid w:val="006C1F6E"/>
    <w:rsid w:val="007548F8"/>
    <w:rsid w:val="007614FB"/>
    <w:rsid w:val="0076368C"/>
    <w:rsid w:val="00766149"/>
    <w:rsid w:val="00785A72"/>
    <w:rsid w:val="007C3F8C"/>
    <w:rsid w:val="007E50ED"/>
    <w:rsid w:val="00803D39"/>
    <w:rsid w:val="008471E5"/>
    <w:rsid w:val="00873398"/>
    <w:rsid w:val="0087404C"/>
    <w:rsid w:val="00880925"/>
    <w:rsid w:val="00891968"/>
    <w:rsid w:val="009241BD"/>
    <w:rsid w:val="00942C04"/>
    <w:rsid w:val="00956F50"/>
    <w:rsid w:val="00984F03"/>
    <w:rsid w:val="009B246F"/>
    <w:rsid w:val="009F48FD"/>
    <w:rsid w:val="00A146F8"/>
    <w:rsid w:val="00A271FF"/>
    <w:rsid w:val="00A56772"/>
    <w:rsid w:val="00A86483"/>
    <w:rsid w:val="00A93951"/>
    <w:rsid w:val="00AB15E7"/>
    <w:rsid w:val="00AB40F1"/>
    <w:rsid w:val="00AD1EDB"/>
    <w:rsid w:val="00AF588B"/>
    <w:rsid w:val="00B56B57"/>
    <w:rsid w:val="00B61509"/>
    <w:rsid w:val="00B74A26"/>
    <w:rsid w:val="00B8589E"/>
    <w:rsid w:val="00B91FDD"/>
    <w:rsid w:val="00B970EE"/>
    <w:rsid w:val="00BA0E11"/>
    <w:rsid w:val="00BE7D26"/>
    <w:rsid w:val="00BF65A6"/>
    <w:rsid w:val="00C2666D"/>
    <w:rsid w:val="00C329DC"/>
    <w:rsid w:val="00C36DBD"/>
    <w:rsid w:val="00C82C5B"/>
    <w:rsid w:val="00CA2359"/>
    <w:rsid w:val="00D243BE"/>
    <w:rsid w:val="00D81A9A"/>
    <w:rsid w:val="00DE682E"/>
    <w:rsid w:val="00E03817"/>
    <w:rsid w:val="00E05EEB"/>
    <w:rsid w:val="00E177A9"/>
    <w:rsid w:val="00E55AD4"/>
    <w:rsid w:val="00E766AC"/>
    <w:rsid w:val="00EC3AE7"/>
    <w:rsid w:val="00EC7516"/>
    <w:rsid w:val="00EE46C0"/>
    <w:rsid w:val="00EF1D54"/>
    <w:rsid w:val="00F47F4E"/>
    <w:rsid w:val="00F625F7"/>
    <w:rsid w:val="00FC30A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E869"/>
  <w15:chartTrackingRefBased/>
  <w15:docId w15:val="{E301265A-3930-42F2-B4F5-734B776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F50"/>
  </w:style>
  <w:style w:type="paragraph" w:styleId="Rodap">
    <w:name w:val="footer"/>
    <w:basedOn w:val="Normal"/>
    <w:link w:val="RodapChar"/>
    <w:uiPriority w:val="99"/>
    <w:unhideWhenUsed/>
    <w:rsid w:val="0095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F50"/>
  </w:style>
  <w:style w:type="table" w:styleId="Tabelacomgrade">
    <w:name w:val="Table Grid"/>
    <w:basedOn w:val="Tabelanormal"/>
    <w:uiPriority w:val="39"/>
    <w:rsid w:val="0094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dos\seplan\deorg__sesor\01-Operacional%20SESOR\01-Cesta%20b&#225;sica\01-CESTA%20UNISANTOS\04%20-%20Laboratorio%202024_2025\Consolida&#231;&#227;o%20da%20%20Pesquisa%20de%20Cesta%20B&#225;sica%20-%20Sant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dos\seplan\deorg__sesor\01-Operacional%20SESOR\01-Cesta%20b&#225;sica\01-CESTA%20UNISANTOS\04%20-%20Laboratorio%202024_2025\Consolida&#231;&#227;o%20da%20%20Pesquisa%20de%20Cesta%20B&#225;sica%20-%20Sant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4558822039137"/>
          <c:y val="6.961257749758025E-2"/>
          <c:w val="0.86246638089157779"/>
          <c:h val="0.78902137232845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75A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4A-4DAD-8B06-13995F42AA96}"/>
              </c:ext>
            </c:extLst>
          </c:dPt>
          <c:dPt>
            <c:idx val="1"/>
            <c:invertIfNegative val="0"/>
            <c:bubble3D val="0"/>
            <c:spPr>
              <a:solidFill>
                <a:srgbClr val="00275A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4A-4DAD-8B06-13995F42AA96}"/>
              </c:ext>
            </c:extLst>
          </c:dPt>
          <c:dPt>
            <c:idx val="2"/>
            <c:invertIfNegative val="0"/>
            <c:bubble3D val="0"/>
            <c:spPr>
              <a:solidFill>
                <a:srgbClr val="00275A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E4A-4DAD-8B06-13995F42AA96}"/>
              </c:ext>
            </c:extLst>
          </c:dPt>
          <c:dPt>
            <c:idx val="3"/>
            <c:invertIfNegative val="0"/>
            <c:bubble3D val="0"/>
            <c:spPr>
              <a:solidFill>
                <a:srgbClr val="00275A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E4A-4DAD-8B06-13995F42AA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Nororeste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694.16</c:v>
                </c:pt>
                <c:pt idx="1">
                  <c:v>680.3</c:v>
                </c:pt>
                <c:pt idx="2">
                  <c:v>765.63</c:v>
                </c:pt>
                <c:pt idx="3">
                  <c:v>681.84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E4A-4DAD-8B06-13995F42A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409256"/>
        <c:axId val="7093592"/>
      </c:barChart>
      <c:catAx>
        <c:axId val="140409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93592"/>
        <c:crosses val="autoZero"/>
        <c:auto val="1"/>
        <c:lblAlgn val="ctr"/>
        <c:lblOffset val="100"/>
        <c:noMultiLvlLbl val="0"/>
      </c:catAx>
      <c:valAx>
        <c:axId val="7093592"/>
        <c:scaling>
          <c:orientation val="minMax"/>
          <c:max val="780"/>
          <c:min val="6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40925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742866479039516E-2"/>
          <c:y val="0.11517967845168141"/>
          <c:w val="0.95997462817147861"/>
          <c:h val="0.84976051926811536"/>
        </c:manualLayout>
      </c:layout>
      <c:lineChart>
        <c:grouping val="standard"/>
        <c:varyColors val="0"/>
        <c:ser>
          <c:idx val="0"/>
          <c:order val="0"/>
          <c:tx>
            <c:strRef>
              <c:f>Plan1!$R$56</c:f>
              <c:strCache>
                <c:ptCount val="1"/>
                <c:pt idx="0">
                  <c:v>Variação</c:v>
                </c:pt>
              </c:strCache>
            </c:strRef>
          </c:tx>
          <c:spPr>
            <a:ln w="31750" cap="rnd">
              <a:solidFill>
                <a:schemeClr val="tx2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chemeClr val="tx2">
                  <a:lumMod val="75000"/>
                </a:schemeClr>
              </a:solidFill>
              <a:ln w="9525">
                <a:solidFill>
                  <a:schemeClr val="tx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5374569142712613E-2"/>
                  <c:y val="-0.151496917204215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F0-4A1E-AD5A-9A85F5D735C5}"/>
                </c:ext>
                <c:ext xmlns:c15="http://schemas.microsoft.com/office/drawing/2012/chart" uri="{CE6537A1-D6FC-4f65-9D91-7224C49458BB}">
                  <c15:layout>
                    <c:manualLayout>
                      <c:w val="8.8680446194225715E-2"/>
                      <c:h val="7.901169141958143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6562445319335084E-2"/>
                  <c:y val="-0.152000474870118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F0-4A1E-AD5A-9A85F5D735C5}"/>
                </c:ext>
                <c:ext xmlns:c15="http://schemas.microsoft.com/office/drawing/2012/chart" uri="{CE6537A1-D6FC-4f65-9D91-7224C49458BB}">
                  <c15:layout>
                    <c:manualLayout>
                      <c:w val="8.5902668416447933E-2"/>
                      <c:h val="7.901169141958143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6.6562445319335084E-2"/>
                  <c:y val="-0.182752962340349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2F0-4A1E-AD5A-9A85F5D735C5}"/>
                </c:ext>
                <c:ext xmlns:c15="http://schemas.microsoft.com/office/drawing/2012/chart" uri="{CE6537A1-D6FC-4f65-9D91-7224C49458BB}">
                  <c15:layout>
                    <c:manualLayout>
                      <c:w val="8.5902668416447933E-2"/>
                      <c:h val="9.658445059875370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211811023622057E-2"/>
                  <c:y val="-0.127838077739280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F0-4A1E-AD5A-9A85F5D735C5}"/>
                </c:ext>
                <c:ext xmlns:c15="http://schemas.microsoft.com/office/drawing/2012/chart" uri="{CE6537A1-D6FC-4f65-9D91-7224C49458BB}">
                  <c15:layout>
                    <c:manualLayout>
                      <c:w val="9.701377952755906E-2"/>
                      <c:h val="8.340488121437451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 cmpd="sng" algn="ctr">
                      <a:solidFill>
                        <a:schemeClr val="tx2">
                          <a:lumMod val="7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Plan1!$Q$57:$Q$60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Noroeste</c:v>
                </c:pt>
              </c:strCache>
            </c:strRef>
          </c:cat>
          <c:val>
            <c:numRef>
              <c:f>Plan1!$R$57:$R$60</c:f>
              <c:numCache>
                <c:formatCode>General</c:formatCode>
                <c:ptCount val="4"/>
                <c:pt idx="0">
                  <c:v>5.58</c:v>
                </c:pt>
                <c:pt idx="1">
                  <c:v>5.12</c:v>
                </c:pt>
                <c:pt idx="2">
                  <c:v>4.24</c:v>
                </c:pt>
                <c:pt idx="3">
                  <c:v>6.16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2F0-4A1E-AD5A-9A85F5D735C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0387152"/>
        <c:axId val="140838408"/>
      </c:lineChart>
      <c:catAx>
        <c:axId val="14038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50800" dist="50800" dir="5400000" sx="123000" sy="123000" algn="ctr" rotWithShape="0">
                    <a:srgbClr val="000000">
                      <a:alpha val="0"/>
                    </a:srgbClr>
                  </a:outerShdw>
                </a:effectLst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40838408"/>
        <c:crosses val="autoZero"/>
        <c:auto val="0"/>
        <c:lblAlgn val="ctr"/>
        <c:lblOffset val="100"/>
        <c:noMultiLvlLbl val="0"/>
      </c:catAx>
      <c:valAx>
        <c:axId val="140838408"/>
        <c:scaling>
          <c:orientation val="minMax"/>
          <c:max val="7"/>
          <c:min val="4"/>
        </c:scaling>
        <c:delete val="1"/>
        <c:axPos val="l"/>
        <c:numFmt formatCode="General" sourceLinked="1"/>
        <c:majorTickMark val="none"/>
        <c:minorTickMark val="none"/>
        <c:tickLblPos val="nextTo"/>
        <c:crossAx val="140387152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4558822039137"/>
          <c:y val="6.961257749758025E-2"/>
          <c:w val="0.86246638089157779"/>
          <c:h val="0.792657203060884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Máximos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77-4452-9687-71A36C66D54C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77-4452-9687-71A36C66D54C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77-4452-9687-71A36C66D54C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77-4452-9687-71A36C66D5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Nororeste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720.55</c:v>
                </c:pt>
                <c:pt idx="1">
                  <c:v>706.38</c:v>
                </c:pt>
                <c:pt idx="2">
                  <c:v>790.32</c:v>
                </c:pt>
                <c:pt idx="3">
                  <c:v>708.31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277-4452-9687-71A36C66D54C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Mínimos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01801801801801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277-4452-9687-71A36C66D54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44401544401544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277-4452-9687-71A36C66D54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87001287001277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277-4452-9687-71A36C66D54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444015444015444E-2"/>
                  <c:y val="-4.060492037109366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277-4452-9687-71A36C66D54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Nororeste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667.77</c:v>
                </c:pt>
                <c:pt idx="1">
                  <c:v>654.23</c:v>
                </c:pt>
                <c:pt idx="2">
                  <c:v>740.95</c:v>
                </c:pt>
                <c:pt idx="3">
                  <c:v>655.38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277-4452-9687-71A36C66D5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0"/>
        <c:axId val="119331880"/>
        <c:axId val="120063896"/>
      </c:barChart>
      <c:catAx>
        <c:axId val="11933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0063896"/>
        <c:crosses val="autoZero"/>
        <c:auto val="1"/>
        <c:lblAlgn val="ctr"/>
        <c:lblOffset val="100"/>
        <c:noMultiLvlLbl val="0"/>
      </c:catAx>
      <c:valAx>
        <c:axId val="120063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331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Variação Por Item</a:t>
            </a:r>
          </a:p>
        </c:rich>
      </c:tx>
      <c:layout>
        <c:manualLayout>
          <c:xMode val="edge"/>
          <c:yMode val="edge"/>
          <c:x val="0.40642427608009768"/>
          <c:y val="1.67014650384856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1598683961036001E-2"/>
          <c:y val="9.9827454537398316E-2"/>
          <c:w val="0.87023381910648923"/>
          <c:h val="0.69773397242921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'Por Item'!$F$66</c:f>
              <c:strCache>
                <c:ptCount val="1"/>
                <c:pt idx="0">
                  <c:v>Variação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3.7348272642390972E-3"/>
                  <c:y val="-9.458260383148017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5CA-4EA1-B7B2-5AB5BF6126C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8674136321195146E-3"/>
                  <c:y val="1.138081872343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5CA-4EA1-B7B2-5AB5BF6126C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Item'!$B$28:$B$40</c:f>
              <c:strCache>
                <c:ptCount val="13"/>
                <c:pt idx="0">
                  <c:v>Farinha de mandioca</c:v>
                </c:pt>
                <c:pt idx="1">
                  <c:v>Margarina</c:v>
                </c:pt>
                <c:pt idx="2">
                  <c:v>Feijão carioca</c:v>
                </c:pt>
                <c:pt idx="3">
                  <c:v>Leite - caixa</c:v>
                </c:pt>
                <c:pt idx="4">
                  <c:v>Arroz branco</c:v>
                </c:pt>
                <c:pt idx="5">
                  <c:v>Pão francês</c:v>
                </c:pt>
                <c:pt idx="6">
                  <c:v>Fruta (banana)</c:v>
                </c:pt>
                <c:pt idx="7">
                  <c:v>Açúcar</c:v>
                </c:pt>
                <c:pt idx="8">
                  <c:v>Café em pó</c:v>
                </c:pt>
                <c:pt idx="9">
                  <c:v>Carne (acém)</c:v>
                </c:pt>
                <c:pt idx="10">
                  <c:v>Batata</c:v>
                </c:pt>
                <c:pt idx="11">
                  <c:v>Óleo de soja</c:v>
                </c:pt>
                <c:pt idx="12">
                  <c:v>Legumes (tomate)</c:v>
                </c:pt>
              </c:strCache>
            </c:strRef>
          </c:cat>
          <c:val>
            <c:numRef>
              <c:f>'Por Item'!$F$28:$F$40</c:f>
              <c:numCache>
                <c:formatCode>0.00%</c:formatCode>
                <c:ptCount val="13"/>
                <c:pt idx="0">
                  <c:v>-3.2630280840160529E-2</c:v>
                </c:pt>
                <c:pt idx="1">
                  <c:v>-1.3919647540748516E-2</c:v>
                </c:pt>
                <c:pt idx="2">
                  <c:v>-1.2671384440192909E-2</c:v>
                </c:pt>
                <c:pt idx="3">
                  <c:v>-7.8168997042268977E-3</c:v>
                </c:pt>
                <c:pt idx="4">
                  <c:v>3.0972777856041124E-3</c:v>
                </c:pt>
                <c:pt idx="5">
                  <c:v>1.543071380310241E-2</c:v>
                </c:pt>
                <c:pt idx="6">
                  <c:v>2.5758689690924392E-2</c:v>
                </c:pt>
                <c:pt idx="7">
                  <c:v>3.6218263012334127E-2</c:v>
                </c:pt>
                <c:pt idx="8">
                  <c:v>3.9114214376960499E-2</c:v>
                </c:pt>
                <c:pt idx="9">
                  <c:v>7.483615193529207E-2</c:v>
                </c:pt>
                <c:pt idx="10">
                  <c:v>9.1364450356260493E-2</c:v>
                </c:pt>
                <c:pt idx="11">
                  <c:v>9.9056211406756633E-2</c:v>
                </c:pt>
                <c:pt idx="12">
                  <c:v>0.10859225439398895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CA-4EA1-B7B2-5AB5BF612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39912"/>
        <c:axId val="141288656"/>
      </c:barChart>
      <c:catAx>
        <c:axId val="14083991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288656"/>
        <c:crosses val="autoZero"/>
        <c:auto val="1"/>
        <c:lblAlgn val="ctr"/>
        <c:lblOffset val="100"/>
        <c:noMultiLvlLbl val="0"/>
      </c:catAx>
      <c:valAx>
        <c:axId val="141288656"/>
        <c:scaling>
          <c:orientation val="minMax"/>
          <c:min val="-6.0000000000000012E-2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b" anchorCtr="0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839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rnd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68D1-49B3-4276-9228-BEF10644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DE OLIVEIRA BEZERRA - T0781345</dc:creator>
  <cp:keywords/>
  <dc:description/>
  <cp:lastModifiedBy>RODNEY DE OLIVEIRA BEZERRA - T0781345</cp:lastModifiedBy>
  <cp:revision>17</cp:revision>
  <dcterms:created xsi:type="dcterms:W3CDTF">2024-10-02T14:50:00Z</dcterms:created>
  <dcterms:modified xsi:type="dcterms:W3CDTF">2024-12-02T19:15:00Z</dcterms:modified>
</cp:coreProperties>
</file>